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E925C" w14:textId="77777777" w:rsidR="00402926" w:rsidRDefault="00402926" w:rsidP="00402926">
      <w:pPr>
        <w:ind w:left="426"/>
        <w:rPr>
          <w:rFonts w:asciiTheme="majorHAnsi" w:hAnsiTheme="majorHAnsi"/>
          <w:b/>
          <w:bCs/>
          <w:color w:val="04476E"/>
          <w:spacing w:val="-12"/>
          <w:w w:val="105"/>
          <w:sz w:val="48"/>
          <w:szCs w:val="48"/>
        </w:rPr>
      </w:pPr>
    </w:p>
    <w:p w14:paraId="2C4DFE54" w14:textId="2C4D5477" w:rsidR="00DD0971" w:rsidRDefault="00F82A0B" w:rsidP="00402926">
      <w:pPr>
        <w:ind w:left="426"/>
        <w:rPr>
          <w:rFonts w:ascii="Arial" w:hAnsi="Arial" w:cs="Arial"/>
          <w:color w:val="04476E"/>
          <w:spacing w:val="-12"/>
          <w:w w:val="105"/>
          <w:sz w:val="44"/>
          <w:szCs w:val="44"/>
        </w:rPr>
      </w:pPr>
      <w:r w:rsidRPr="00402926">
        <w:rPr>
          <w:rFonts w:ascii="Arial" w:hAnsi="Arial" w:cs="Arial"/>
          <w:color w:val="04476E"/>
          <w:spacing w:val="-12"/>
          <w:w w:val="105"/>
          <w:sz w:val="44"/>
          <w:szCs w:val="44"/>
        </w:rPr>
        <w:t xml:space="preserve">NZISM </w:t>
      </w:r>
      <w:r w:rsidR="00402926" w:rsidRPr="00402926">
        <w:rPr>
          <w:rFonts w:ascii="Arial" w:hAnsi="Arial" w:cs="Arial"/>
          <w:color w:val="04476E"/>
          <w:spacing w:val="-12"/>
          <w:w w:val="105"/>
          <w:sz w:val="44"/>
          <w:szCs w:val="44"/>
        </w:rPr>
        <w:t>submission</w:t>
      </w:r>
      <w:r w:rsidRPr="00402926">
        <w:rPr>
          <w:rFonts w:ascii="Arial" w:hAnsi="Arial" w:cs="Arial"/>
          <w:color w:val="04476E"/>
          <w:spacing w:val="-12"/>
          <w:w w:val="105"/>
          <w:sz w:val="44"/>
          <w:szCs w:val="44"/>
        </w:rPr>
        <w:t xml:space="preserve"> o</w:t>
      </w:r>
      <w:r w:rsidR="00402926" w:rsidRPr="00402926">
        <w:rPr>
          <w:rFonts w:ascii="Arial" w:hAnsi="Arial" w:cs="Arial"/>
          <w:color w:val="04476E"/>
          <w:spacing w:val="-12"/>
          <w:w w:val="105"/>
          <w:sz w:val="44"/>
          <w:szCs w:val="44"/>
        </w:rPr>
        <w:t>n:</w:t>
      </w:r>
    </w:p>
    <w:p w14:paraId="0E5B650B" w14:textId="77777777" w:rsidR="00402926" w:rsidRPr="00402926" w:rsidRDefault="00402926" w:rsidP="00402926">
      <w:pPr>
        <w:ind w:left="426"/>
        <w:rPr>
          <w:rFonts w:ascii="Arial" w:hAnsi="Arial" w:cs="Arial"/>
          <w:color w:val="04476E"/>
          <w:spacing w:val="-12"/>
          <w:w w:val="105"/>
          <w:sz w:val="44"/>
          <w:szCs w:val="44"/>
        </w:rPr>
      </w:pPr>
    </w:p>
    <w:p w14:paraId="558D9041" w14:textId="2D52D2ED" w:rsidR="00DD0971" w:rsidRDefault="00DD5FFA" w:rsidP="00402926">
      <w:pPr>
        <w:ind w:left="426"/>
        <w:rPr>
          <w:rFonts w:ascii="Arial" w:hAnsi="Arial" w:cs="Arial"/>
          <w:b/>
          <w:bCs/>
          <w:color w:val="04476E"/>
          <w:spacing w:val="-12"/>
          <w:w w:val="105"/>
          <w:sz w:val="48"/>
          <w:szCs w:val="48"/>
        </w:rPr>
      </w:pPr>
      <w:r w:rsidRPr="00402926">
        <w:rPr>
          <w:rFonts w:ascii="Arial" w:hAnsi="Arial" w:cs="Arial"/>
          <w:b/>
          <w:bCs/>
          <w:color w:val="04476E"/>
          <w:spacing w:val="-12"/>
          <w:w w:val="105"/>
          <w:sz w:val="48"/>
          <w:szCs w:val="48"/>
        </w:rPr>
        <w:t xml:space="preserve">‘Have your say on </w:t>
      </w:r>
      <w:r w:rsidR="00CB01C8" w:rsidRPr="00402926">
        <w:rPr>
          <w:rFonts w:ascii="Arial" w:hAnsi="Arial" w:cs="Arial"/>
          <w:b/>
          <w:bCs/>
          <w:color w:val="04476E"/>
          <w:spacing w:val="-12"/>
          <w:w w:val="105"/>
          <w:sz w:val="48"/>
          <w:szCs w:val="48"/>
        </w:rPr>
        <w:t>work health and safety’</w:t>
      </w:r>
    </w:p>
    <w:p w14:paraId="2BB397E1" w14:textId="5D7292F5" w:rsidR="004D1AEA" w:rsidRDefault="004D1AEA" w:rsidP="00402926">
      <w:pPr>
        <w:ind w:left="426"/>
        <w:rPr>
          <w:rFonts w:ascii="Arial" w:hAnsi="Arial" w:cs="Arial"/>
          <w:b/>
          <w:bCs/>
          <w:color w:val="04476E"/>
          <w:spacing w:val="-12"/>
          <w:w w:val="105"/>
          <w:sz w:val="48"/>
          <w:szCs w:val="48"/>
        </w:rPr>
      </w:pPr>
      <w:r>
        <w:rPr>
          <w:rFonts w:asciiTheme="majorHAnsi" w:hAnsiTheme="majorHAnsi"/>
          <w:b/>
          <w:bCs/>
          <w:noProof/>
          <w:color w:val="04476E"/>
          <w:spacing w:val="-12"/>
          <w:w w:val="105"/>
          <w:sz w:val="48"/>
          <w:szCs w:val="48"/>
        </w:rPr>
        <w:drawing>
          <wp:anchor distT="0" distB="0" distL="114300" distR="114300" simplePos="0" relativeHeight="251658239" behindDoc="1" locked="0" layoutInCell="1" allowOverlap="1" wp14:anchorId="4935BF64" wp14:editId="21183571">
            <wp:simplePos x="0" y="0"/>
            <wp:positionH relativeFrom="column">
              <wp:posOffset>93296</wp:posOffset>
            </wp:positionH>
            <wp:positionV relativeFrom="paragraph">
              <wp:posOffset>208211</wp:posOffset>
            </wp:positionV>
            <wp:extent cx="5919691" cy="6227806"/>
            <wp:effectExtent l="0" t="0" r="0" b="0"/>
            <wp:wrapNone/>
            <wp:docPr id="541062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62885"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24509" cy="6232875"/>
                    </a:xfrm>
                    <a:prstGeom prst="rect">
                      <a:avLst/>
                    </a:prstGeom>
                  </pic:spPr>
                </pic:pic>
              </a:graphicData>
            </a:graphic>
            <wp14:sizeRelH relativeFrom="page">
              <wp14:pctWidth>0</wp14:pctWidth>
            </wp14:sizeRelH>
            <wp14:sizeRelV relativeFrom="page">
              <wp14:pctHeight>0</wp14:pctHeight>
            </wp14:sizeRelV>
          </wp:anchor>
        </w:drawing>
      </w:r>
    </w:p>
    <w:p w14:paraId="5062BD29" w14:textId="7CC89F1F" w:rsidR="00402926" w:rsidRPr="00402926" w:rsidRDefault="00402926" w:rsidP="00402926">
      <w:pPr>
        <w:ind w:left="426"/>
        <w:rPr>
          <w:rFonts w:ascii="Arial" w:hAnsi="Arial" w:cs="Arial"/>
          <w:b/>
          <w:bCs/>
          <w:color w:val="04476E"/>
          <w:spacing w:val="-12"/>
          <w:w w:val="105"/>
        </w:rPr>
      </w:pPr>
    </w:p>
    <w:p w14:paraId="62BF3614" w14:textId="35293861" w:rsidR="00402926" w:rsidRDefault="00402926" w:rsidP="00DD0971">
      <w:pPr>
        <w:jc w:val="center"/>
        <w:rPr>
          <w:rFonts w:asciiTheme="majorHAnsi" w:hAnsiTheme="majorHAnsi"/>
          <w:b/>
          <w:bCs/>
          <w:color w:val="04476E"/>
          <w:spacing w:val="-12"/>
          <w:w w:val="105"/>
          <w:sz w:val="48"/>
          <w:szCs w:val="48"/>
        </w:rPr>
      </w:pPr>
    </w:p>
    <w:p w14:paraId="0978F344" w14:textId="66264C3D" w:rsidR="00402926" w:rsidRPr="00DD0971" w:rsidRDefault="00402926" w:rsidP="00DD0971">
      <w:pPr>
        <w:jc w:val="center"/>
        <w:rPr>
          <w:rFonts w:asciiTheme="majorHAnsi" w:hAnsiTheme="majorHAnsi"/>
          <w:b/>
          <w:bCs/>
          <w:color w:val="04476E"/>
          <w:spacing w:val="-12"/>
          <w:w w:val="105"/>
          <w:sz w:val="48"/>
          <w:szCs w:val="48"/>
        </w:rPr>
      </w:pPr>
    </w:p>
    <w:p w14:paraId="7E685089" w14:textId="10E26904" w:rsidR="00457B19" w:rsidRPr="00DD0971" w:rsidRDefault="00457B19" w:rsidP="00DD0971">
      <w:pPr>
        <w:rPr>
          <w:rFonts w:ascii="Lucida Sans" w:hAnsi="Lucida Sans" w:cs="Lucida Sans"/>
          <w:b/>
          <w:bCs/>
          <w:color w:val="04476E"/>
          <w:spacing w:val="-12"/>
          <w:w w:val="105"/>
          <w:sz w:val="32"/>
          <w:szCs w:val="32"/>
        </w:rPr>
      </w:pPr>
    </w:p>
    <w:p w14:paraId="0D12FDA5" w14:textId="77777777" w:rsidR="001A448B" w:rsidRDefault="001A448B" w:rsidP="00457B19">
      <w:pPr>
        <w:rPr>
          <w:b/>
          <w:bCs/>
        </w:rPr>
      </w:pPr>
    </w:p>
    <w:p w14:paraId="2C2FE848" w14:textId="77777777" w:rsidR="00DD0971" w:rsidRDefault="00DD0971">
      <w:pPr>
        <w:rPr>
          <w:rFonts w:ascii="Lucida Sans" w:hAnsi="Lucida Sans" w:cs="Lucida Sans"/>
          <w:color w:val="04476E"/>
          <w:spacing w:val="-6"/>
          <w:sz w:val="28"/>
          <w:szCs w:val="28"/>
        </w:rPr>
      </w:pPr>
      <w:r>
        <w:rPr>
          <w:color w:val="04476E"/>
          <w:spacing w:val="-6"/>
          <w:sz w:val="28"/>
          <w:szCs w:val="28"/>
        </w:rPr>
        <w:br w:type="page"/>
      </w:r>
    </w:p>
    <w:p w14:paraId="0C54DE72" w14:textId="12590A99" w:rsidR="0084247C" w:rsidRPr="00DD0971" w:rsidRDefault="00DD0971" w:rsidP="003F5D04">
      <w:pPr>
        <w:pStyle w:val="BodyText"/>
        <w:spacing w:line="400" w:lineRule="exact"/>
        <w:outlineLvl w:val="0"/>
        <w:rPr>
          <w:rFonts w:asciiTheme="majorHAnsi" w:hAnsiTheme="majorHAnsi"/>
          <w:b/>
          <w:bCs/>
          <w:color w:val="04476E"/>
          <w:spacing w:val="-6"/>
          <w:sz w:val="36"/>
          <w:szCs w:val="36"/>
        </w:rPr>
      </w:pPr>
      <w:bookmarkStart w:id="0" w:name="_Toc177397958"/>
      <w:r w:rsidRPr="00DD0971">
        <w:rPr>
          <w:rFonts w:asciiTheme="majorHAnsi" w:hAnsiTheme="majorHAnsi"/>
          <w:b/>
          <w:bCs/>
          <w:color w:val="04476E"/>
          <w:spacing w:val="-6"/>
          <w:sz w:val="36"/>
          <w:szCs w:val="36"/>
        </w:rPr>
        <w:lastRenderedPageBreak/>
        <w:t>SUMMARY OF RECOMMENDATIONS</w:t>
      </w:r>
      <w:bookmarkEnd w:id="0"/>
    </w:p>
    <w:p w14:paraId="093318FC" w14:textId="77777777" w:rsidR="0095581E" w:rsidRDefault="0095581E" w:rsidP="00CB01C8">
      <w:pPr>
        <w:pStyle w:val="BodyText"/>
        <w:spacing w:line="400" w:lineRule="exact"/>
        <w:rPr>
          <w:color w:val="04476E"/>
          <w:spacing w:val="-6"/>
          <w:sz w:val="28"/>
          <w:szCs w:val="28"/>
        </w:rPr>
      </w:pPr>
    </w:p>
    <w:p w14:paraId="331BA328" w14:textId="77777777" w:rsidR="00AB70A2" w:rsidRPr="00AB70A2" w:rsidRDefault="00AB70A2" w:rsidP="00AB70A2">
      <w:pPr>
        <w:pStyle w:val="BodyText"/>
        <w:spacing w:line="400" w:lineRule="exact"/>
        <w:rPr>
          <w:rFonts w:asciiTheme="majorHAnsi" w:hAnsiTheme="majorHAnsi"/>
          <w:b/>
          <w:bCs/>
          <w:color w:val="04476E"/>
          <w:spacing w:val="-6"/>
          <w:sz w:val="28"/>
          <w:szCs w:val="28"/>
        </w:rPr>
      </w:pPr>
      <w:r w:rsidRPr="00AB70A2">
        <w:rPr>
          <w:rFonts w:asciiTheme="majorHAnsi" w:hAnsiTheme="majorHAnsi"/>
          <w:b/>
          <w:bCs/>
          <w:color w:val="04476E"/>
          <w:spacing w:val="-6"/>
          <w:sz w:val="28"/>
          <w:szCs w:val="28"/>
        </w:rPr>
        <w:t>THE HEALTH AND SAFETY AT WORK ACT 2015</w:t>
      </w:r>
    </w:p>
    <w:p w14:paraId="20465DB1" w14:textId="1DA9D456" w:rsidR="00AB70A2" w:rsidRPr="004E574F" w:rsidRDefault="004E574F">
      <w:pPr>
        <w:rPr>
          <w:rFonts w:ascii="Aptos" w:eastAsia="Aptos" w:hAnsi="Aptos" w:cs="Aptos"/>
          <w:color w:val="000000" w:themeColor="text1"/>
        </w:rPr>
      </w:pPr>
      <w:r>
        <w:rPr>
          <w:rFonts w:ascii="Aptos" w:eastAsia="Aptos" w:hAnsi="Aptos" w:cs="Aptos"/>
          <w:color w:val="000000" w:themeColor="text1"/>
        </w:rPr>
        <w:t>Protected</w:t>
      </w:r>
      <w:r w:rsidR="00AB70A2" w:rsidRPr="004E574F">
        <w:rPr>
          <w:rFonts w:ascii="Aptos" w:eastAsia="Aptos" w:hAnsi="Aptos" w:cs="Aptos"/>
          <w:color w:val="000000" w:themeColor="text1"/>
        </w:rPr>
        <w:t xml:space="preserve"> titles for health and safety practitioners</w:t>
      </w:r>
      <w:r>
        <w:rPr>
          <w:rFonts w:ascii="Aptos" w:eastAsia="Aptos" w:hAnsi="Aptos" w:cs="Aptos"/>
          <w:color w:val="000000" w:themeColor="text1"/>
        </w:rPr>
        <w:t xml:space="preserve"> should be introduced.</w:t>
      </w:r>
    </w:p>
    <w:p w14:paraId="666B378B" w14:textId="77777777" w:rsidR="00AB70A2" w:rsidRPr="004E574F" w:rsidRDefault="00AB70A2">
      <w:pPr>
        <w:rPr>
          <w:rFonts w:ascii="Aptos" w:eastAsia="Aptos" w:hAnsi="Aptos" w:cs="Aptos"/>
          <w:color w:val="000000" w:themeColor="text1"/>
        </w:rPr>
      </w:pPr>
    </w:p>
    <w:p w14:paraId="293F7EE3" w14:textId="23FF49D3" w:rsidR="00AB70A2" w:rsidRPr="004E574F" w:rsidRDefault="007F3B07">
      <w:pPr>
        <w:rPr>
          <w:rFonts w:ascii="Aptos" w:eastAsia="Aptos" w:hAnsi="Aptos" w:cs="Aptos"/>
          <w:color w:val="000000" w:themeColor="text1"/>
        </w:rPr>
      </w:pPr>
      <w:r w:rsidRPr="004E574F">
        <w:rPr>
          <w:rFonts w:ascii="Aptos" w:eastAsia="Aptos" w:hAnsi="Aptos" w:cs="Aptos"/>
          <w:color w:val="000000" w:themeColor="text1"/>
        </w:rPr>
        <w:t>A</w:t>
      </w:r>
      <w:r w:rsidR="00AB70A2" w:rsidRPr="004E574F">
        <w:rPr>
          <w:rFonts w:ascii="Aptos" w:eastAsia="Aptos" w:hAnsi="Aptos" w:cs="Aptos"/>
          <w:color w:val="000000" w:themeColor="text1"/>
        </w:rPr>
        <w:t xml:space="preserve"> requirement </w:t>
      </w:r>
      <w:r w:rsidR="004E574F">
        <w:rPr>
          <w:rFonts w:ascii="Aptos" w:eastAsia="Aptos" w:hAnsi="Aptos" w:cs="Aptos"/>
          <w:color w:val="000000" w:themeColor="text1"/>
        </w:rPr>
        <w:t>should also</w:t>
      </w:r>
      <w:r w:rsidR="00AB70A2" w:rsidRPr="004E574F">
        <w:rPr>
          <w:rFonts w:ascii="Aptos" w:eastAsia="Aptos" w:hAnsi="Aptos" w:cs="Aptos"/>
          <w:color w:val="000000" w:themeColor="text1"/>
        </w:rPr>
        <w:t xml:space="preserve"> </w:t>
      </w:r>
      <w:r w:rsidR="004D1AEA">
        <w:rPr>
          <w:rFonts w:ascii="Aptos" w:eastAsia="Aptos" w:hAnsi="Aptos" w:cs="Aptos"/>
          <w:color w:val="000000" w:themeColor="text1"/>
        </w:rPr>
        <w:t xml:space="preserve">be </w:t>
      </w:r>
      <w:r w:rsidR="00AB70A2" w:rsidRPr="004E574F">
        <w:rPr>
          <w:rFonts w:ascii="Aptos" w:eastAsia="Aptos" w:hAnsi="Aptos" w:cs="Aptos"/>
          <w:color w:val="000000" w:themeColor="text1"/>
        </w:rPr>
        <w:t xml:space="preserve">added to the Health and Safety at Work Act 2015 that PCBUs and officers receive competent advice with regard to the discharge of their health and safety duties.  </w:t>
      </w:r>
    </w:p>
    <w:p w14:paraId="35439263" w14:textId="77777777" w:rsidR="00AB70A2" w:rsidRPr="004E574F" w:rsidRDefault="00AB70A2">
      <w:pPr>
        <w:rPr>
          <w:rFonts w:ascii="Aptos" w:eastAsia="Aptos" w:hAnsi="Aptos" w:cs="Aptos"/>
          <w:color w:val="000000" w:themeColor="text1"/>
        </w:rPr>
      </w:pPr>
    </w:p>
    <w:p w14:paraId="51C20C48" w14:textId="1EED6095" w:rsidR="00AB70A2" w:rsidRPr="004E574F" w:rsidRDefault="007F3B07">
      <w:pPr>
        <w:rPr>
          <w:rFonts w:ascii="Aptos" w:eastAsia="Aptos" w:hAnsi="Aptos" w:cs="Aptos"/>
        </w:rPr>
      </w:pPr>
      <w:r w:rsidRPr="004E574F">
        <w:rPr>
          <w:rFonts w:ascii="Aptos" w:eastAsia="Aptos" w:hAnsi="Aptos" w:cs="Aptos"/>
        </w:rPr>
        <w:t>Greater</w:t>
      </w:r>
      <w:r w:rsidR="00AB70A2" w:rsidRPr="004E574F">
        <w:rPr>
          <w:rFonts w:ascii="Aptos" w:eastAsia="Aptos" w:hAnsi="Aptos" w:cs="Aptos"/>
        </w:rPr>
        <w:t xml:space="preserve"> clarity is </w:t>
      </w:r>
      <w:r w:rsidR="004E574F">
        <w:rPr>
          <w:rFonts w:ascii="Aptos" w:eastAsia="Aptos" w:hAnsi="Aptos" w:cs="Aptos"/>
        </w:rPr>
        <w:t>needed</w:t>
      </w:r>
      <w:r w:rsidR="00AB70A2" w:rsidRPr="004E574F">
        <w:rPr>
          <w:rFonts w:ascii="Aptos" w:eastAsia="Aptos" w:hAnsi="Aptos" w:cs="Aptos"/>
        </w:rPr>
        <w:t xml:space="preserve"> on shared duties.  </w:t>
      </w:r>
    </w:p>
    <w:p w14:paraId="60ADC337" w14:textId="77777777" w:rsidR="00AB70A2" w:rsidRPr="004E574F" w:rsidRDefault="00AB70A2">
      <w:pPr>
        <w:rPr>
          <w:rFonts w:ascii="Aptos" w:eastAsia="Aptos" w:hAnsi="Aptos" w:cs="Aptos"/>
        </w:rPr>
      </w:pPr>
    </w:p>
    <w:p w14:paraId="7B6ED276" w14:textId="17C4FBC4" w:rsidR="00AB70A2" w:rsidRPr="004E574F" w:rsidRDefault="007F3B07" w:rsidP="00AB70A2">
      <w:pPr>
        <w:spacing w:line="259" w:lineRule="auto"/>
        <w:rPr>
          <w:rFonts w:ascii="Aptos" w:eastAsia="Aptos" w:hAnsi="Aptos" w:cs="Aptos"/>
        </w:rPr>
      </w:pPr>
      <w:r w:rsidRPr="004E574F">
        <w:rPr>
          <w:rFonts w:ascii="Aptos" w:eastAsia="Aptos" w:hAnsi="Aptos" w:cs="Aptos"/>
        </w:rPr>
        <w:t xml:space="preserve">The </w:t>
      </w:r>
      <w:r w:rsidR="00AB70A2" w:rsidRPr="004E574F">
        <w:rPr>
          <w:rFonts w:ascii="Aptos" w:eastAsia="Aptos" w:hAnsi="Aptos" w:cs="Aptos"/>
        </w:rPr>
        <w:t xml:space="preserve"> Government </w:t>
      </w:r>
      <w:r w:rsidR="004E574F">
        <w:rPr>
          <w:rFonts w:ascii="Aptos" w:eastAsia="Aptos" w:hAnsi="Aptos" w:cs="Aptos"/>
        </w:rPr>
        <w:t xml:space="preserve">should </w:t>
      </w:r>
      <w:r w:rsidR="00AB70A2" w:rsidRPr="004E574F">
        <w:rPr>
          <w:rFonts w:ascii="Aptos" w:eastAsia="Aptos" w:hAnsi="Aptos" w:cs="Aptos"/>
        </w:rPr>
        <w:t>review sentences and sentencing for offences under the Health and Safety at Work Act 2015 including:</w:t>
      </w:r>
    </w:p>
    <w:p w14:paraId="658CEB95" w14:textId="76ED33F3" w:rsidR="00AB70A2" w:rsidRPr="004E574F" w:rsidRDefault="00AB70A2" w:rsidP="00AB70A2">
      <w:pPr>
        <w:pStyle w:val="ListParagraph"/>
        <w:numPr>
          <w:ilvl w:val="0"/>
          <w:numId w:val="45"/>
        </w:numPr>
        <w:spacing w:line="259" w:lineRule="auto"/>
        <w:rPr>
          <w:rFonts w:ascii="Aptos" w:eastAsia="Aptos" w:hAnsi="Aptos" w:cs="Aptos"/>
        </w:rPr>
      </w:pPr>
      <w:r w:rsidRPr="004E574F">
        <w:rPr>
          <w:rFonts w:ascii="Aptos" w:eastAsia="Aptos" w:hAnsi="Aptos" w:cs="Aptos"/>
        </w:rPr>
        <w:t>Whether additional aggravating or mitigating factors should be considered alongside those in the Sentencing Act 2001 such as whether the breach caused death</w:t>
      </w:r>
      <w:r w:rsidR="008725A5">
        <w:rPr>
          <w:rFonts w:ascii="Aptos" w:eastAsia="Aptos" w:hAnsi="Aptos" w:cs="Aptos"/>
        </w:rPr>
        <w:t xml:space="preserve">, and </w:t>
      </w:r>
      <w:r w:rsidRPr="004E574F">
        <w:rPr>
          <w:rFonts w:ascii="Aptos" w:eastAsia="Aptos" w:hAnsi="Aptos" w:cs="Aptos"/>
        </w:rPr>
        <w:t>the total turnover of the company</w:t>
      </w:r>
      <w:r w:rsidR="004D1AEA">
        <w:rPr>
          <w:rFonts w:ascii="Aptos" w:eastAsia="Aptos" w:hAnsi="Aptos" w:cs="Aptos"/>
        </w:rPr>
        <w:t xml:space="preserve"> </w:t>
      </w:r>
    </w:p>
    <w:p w14:paraId="21C33928" w14:textId="66C030C7" w:rsidR="007F3B07" w:rsidRPr="004E574F" w:rsidRDefault="00AB70A2" w:rsidP="007F3B07">
      <w:pPr>
        <w:pStyle w:val="ListParagraph"/>
        <w:numPr>
          <w:ilvl w:val="0"/>
          <w:numId w:val="45"/>
        </w:numPr>
        <w:spacing w:line="259" w:lineRule="auto"/>
        <w:rPr>
          <w:rFonts w:ascii="Aptos" w:eastAsia="Aptos" w:hAnsi="Aptos" w:cs="Aptos"/>
        </w:rPr>
      </w:pPr>
      <w:r w:rsidRPr="004E574F">
        <w:rPr>
          <w:rFonts w:ascii="Aptos" w:eastAsia="Aptos" w:hAnsi="Aptos" w:cs="Aptos"/>
        </w:rPr>
        <w:t>Whether fines should be uplifted in general or specifically in relation to regulatory offences</w:t>
      </w:r>
    </w:p>
    <w:p w14:paraId="7E90DBED" w14:textId="77777777" w:rsidR="007F3B07" w:rsidRPr="004E574F" w:rsidRDefault="007F3B07" w:rsidP="007F3B07">
      <w:pPr>
        <w:pStyle w:val="ListParagraph"/>
        <w:spacing w:line="259" w:lineRule="auto"/>
        <w:ind w:left="773"/>
        <w:rPr>
          <w:rFonts w:ascii="Aptos" w:eastAsia="Aptos" w:hAnsi="Aptos" w:cs="Aptos"/>
        </w:rPr>
      </w:pPr>
    </w:p>
    <w:p w14:paraId="5F6B0B05" w14:textId="296FED7E" w:rsidR="00AB70A2" w:rsidRPr="004E574F" w:rsidRDefault="007F3B07" w:rsidP="00AB70A2">
      <w:pPr>
        <w:spacing w:after="160" w:line="257" w:lineRule="auto"/>
      </w:pPr>
      <w:r w:rsidRPr="004E574F">
        <w:t>Consider</w:t>
      </w:r>
      <w:r w:rsidR="004E574F">
        <w:t>ation</w:t>
      </w:r>
      <w:r w:rsidR="00AB70A2" w:rsidRPr="004E574F">
        <w:t xml:space="preserve"> </w:t>
      </w:r>
      <w:r w:rsidR="004E574F">
        <w:t>should</w:t>
      </w:r>
      <w:r w:rsidR="00AB70A2" w:rsidRPr="004E574F">
        <w:t xml:space="preserve"> </w:t>
      </w:r>
      <w:r w:rsidR="004D1AEA">
        <w:t xml:space="preserve">be </w:t>
      </w:r>
      <w:r w:rsidR="00AB70A2" w:rsidRPr="004E574F">
        <w:t>given to moving the s 47 test from “recklessness” to “gross negligence.”</w:t>
      </w:r>
    </w:p>
    <w:p w14:paraId="088C2D34" w14:textId="77777777" w:rsidR="00AB70A2" w:rsidRDefault="00AB70A2">
      <w:pPr>
        <w:rPr>
          <w:color w:val="04476E"/>
          <w:spacing w:val="-6"/>
          <w:sz w:val="28"/>
          <w:szCs w:val="28"/>
        </w:rPr>
      </w:pPr>
    </w:p>
    <w:p w14:paraId="43DF136E" w14:textId="4A914A25" w:rsidR="00AB70A2" w:rsidRPr="00AB70A2" w:rsidRDefault="00AB70A2" w:rsidP="00AB70A2">
      <w:pPr>
        <w:pStyle w:val="BodyText"/>
        <w:spacing w:line="400" w:lineRule="exact"/>
        <w:rPr>
          <w:rFonts w:asciiTheme="majorHAnsi" w:hAnsiTheme="majorHAnsi"/>
          <w:b/>
          <w:bCs/>
          <w:color w:val="04476E"/>
          <w:spacing w:val="-6"/>
          <w:sz w:val="28"/>
          <w:szCs w:val="28"/>
        </w:rPr>
      </w:pPr>
      <w:r w:rsidRPr="00AB70A2">
        <w:rPr>
          <w:rFonts w:asciiTheme="majorHAnsi" w:hAnsiTheme="majorHAnsi"/>
          <w:b/>
          <w:bCs/>
          <w:color w:val="04476E"/>
          <w:spacing w:val="-6"/>
          <w:sz w:val="28"/>
          <w:szCs w:val="28"/>
        </w:rPr>
        <w:t>REGULATIONS</w:t>
      </w:r>
    </w:p>
    <w:p w14:paraId="2395268D" w14:textId="12262F0A" w:rsidR="00AB70A2" w:rsidRPr="004E574F" w:rsidRDefault="00AB70A2">
      <w:r w:rsidRPr="004E574F">
        <w:t xml:space="preserve">MBIE </w:t>
      </w:r>
      <w:r w:rsidR="004E574F">
        <w:t>should be</w:t>
      </w:r>
      <w:r w:rsidRPr="004E574F">
        <w:t xml:space="preserve"> tasked with and resourced to complete the suite of Phase II Regulations (plant and structures, hazardous substances, hazardous work) so that these regulations are passed and in force by 1 January 2028.  </w:t>
      </w:r>
    </w:p>
    <w:p w14:paraId="687C005D" w14:textId="77777777" w:rsidR="00AB70A2" w:rsidRPr="004E574F" w:rsidRDefault="00AB70A2"/>
    <w:p w14:paraId="6338A7B0" w14:textId="04EEE3C6" w:rsidR="00AB70A2" w:rsidRPr="004E574F" w:rsidRDefault="007F3B07" w:rsidP="00AB70A2">
      <w:pPr>
        <w:rPr>
          <w:b/>
          <w:bCs/>
        </w:rPr>
      </w:pPr>
      <w:r w:rsidRPr="004E574F">
        <w:t>Alongside</w:t>
      </w:r>
      <w:r w:rsidR="00AB70A2" w:rsidRPr="004E574F">
        <w:t xml:space="preserve"> the passage of the Phase II regulations, MBIE should work with WorkSafe </w:t>
      </w:r>
      <w:r w:rsidR="008725A5">
        <w:t>New Zealand (WorkSafe)</w:t>
      </w:r>
      <w:r w:rsidR="00AB70A2" w:rsidRPr="004E574F">
        <w:t>, the Ministerial Advisory Group (see below) and other stakeholders to scope out emerging health and safety risks and opportunities with a view towards developing clear set of Phase III regulations.</w:t>
      </w:r>
      <w:r w:rsidR="00AB70A2" w:rsidRPr="004E574F">
        <w:rPr>
          <w:b/>
          <w:bCs/>
        </w:rPr>
        <w:t xml:space="preserve">  </w:t>
      </w:r>
    </w:p>
    <w:p w14:paraId="3C242F5B" w14:textId="77777777" w:rsidR="00AB70A2" w:rsidRDefault="00AB70A2" w:rsidP="00AB70A2">
      <w:pPr>
        <w:pStyle w:val="BodyText"/>
        <w:spacing w:line="400" w:lineRule="exact"/>
        <w:rPr>
          <w:rFonts w:asciiTheme="majorHAnsi" w:hAnsiTheme="majorHAnsi"/>
          <w:b/>
          <w:bCs/>
          <w:color w:val="04476E"/>
          <w:spacing w:val="-6"/>
          <w:sz w:val="28"/>
          <w:szCs w:val="28"/>
        </w:rPr>
      </w:pPr>
    </w:p>
    <w:p w14:paraId="785F8436" w14:textId="7514DB0B" w:rsidR="00AB70A2" w:rsidRDefault="00AB70A2" w:rsidP="00AB70A2">
      <w:pPr>
        <w:pStyle w:val="BodyText"/>
        <w:spacing w:line="400" w:lineRule="exact"/>
        <w:rPr>
          <w:rFonts w:asciiTheme="majorHAnsi" w:hAnsiTheme="majorHAnsi"/>
          <w:b/>
          <w:bCs/>
          <w:color w:val="04476E"/>
          <w:spacing w:val="-6"/>
          <w:sz w:val="28"/>
          <w:szCs w:val="28"/>
        </w:rPr>
      </w:pPr>
      <w:r>
        <w:rPr>
          <w:rFonts w:asciiTheme="majorHAnsi" w:hAnsiTheme="majorHAnsi"/>
          <w:b/>
          <w:bCs/>
          <w:color w:val="04476E"/>
          <w:spacing w:val="-6"/>
          <w:sz w:val="28"/>
          <w:szCs w:val="28"/>
        </w:rPr>
        <w:t>GUIDANCE</w:t>
      </w:r>
    </w:p>
    <w:p w14:paraId="1E4AA795" w14:textId="21BE077A" w:rsidR="00AB70A2" w:rsidRPr="004E574F" w:rsidRDefault="00AB70A2" w:rsidP="00AB70A2">
      <w:r w:rsidRPr="004E574F">
        <w:t xml:space="preserve">WorkSafe </w:t>
      </w:r>
      <w:r w:rsidR="007F3B07" w:rsidRPr="004E574F">
        <w:t xml:space="preserve">should </w:t>
      </w:r>
      <w:r w:rsidRPr="004E574F">
        <w:t xml:space="preserve">critically assess their framework and process for endorsing guidance.  </w:t>
      </w:r>
    </w:p>
    <w:p w14:paraId="2911D302" w14:textId="77777777" w:rsidR="00AB70A2" w:rsidRPr="004E574F" w:rsidRDefault="00AB70A2" w:rsidP="00AB70A2">
      <w:pPr>
        <w:pStyle w:val="BodyText"/>
        <w:spacing w:line="400" w:lineRule="exact"/>
        <w:rPr>
          <w:rFonts w:asciiTheme="majorHAnsi" w:hAnsiTheme="majorHAnsi"/>
          <w:b/>
          <w:bCs/>
          <w:color w:val="04476E"/>
          <w:spacing w:val="-6"/>
          <w:sz w:val="28"/>
          <w:szCs w:val="28"/>
        </w:rPr>
      </w:pPr>
    </w:p>
    <w:p w14:paraId="768117AB" w14:textId="77777777" w:rsidR="00AB70A2" w:rsidRPr="004E574F" w:rsidRDefault="00AB70A2" w:rsidP="00AB70A2">
      <w:pPr>
        <w:rPr>
          <w:lang w:val="en-US"/>
        </w:rPr>
      </w:pPr>
      <w:r w:rsidRPr="004E574F">
        <w:rPr>
          <w:lang w:val="en-US"/>
        </w:rPr>
        <w:t>WorkSafe should also do more to support and endorse industry-developed guidance and to adopt best practice guidance from overseas jurisdictions.</w:t>
      </w:r>
    </w:p>
    <w:p w14:paraId="29D2FE4D" w14:textId="77777777" w:rsidR="007F3B07" w:rsidRPr="004E574F" w:rsidRDefault="007F3B07" w:rsidP="000E25BA">
      <w:pPr>
        <w:rPr>
          <w:lang w:val="en-US"/>
        </w:rPr>
      </w:pPr>
    </w:p>
    <w:p w14:paraId="675D2923" w14:textId="4F238238" w:rsidR="000E25BA" w:rsidRPr="004E574F" w:rsidRDefault="007F3B07" w:rsidP="000E25BA">
      <w:pPr>
        <w:rPr>
          <w:lang w:val="en-US"/>
        </w:rPr>
      </w:pPr>
      <w:r w:rsidRPr="004E574F">
        <w:rPr>
          <w:lang w:val="en-US"/>
        </w:rPr>
        <w:lastRenderedPageBreak/>
        <w:t>D</w:t>
      </w:r>
      <w:r w:rsidR="000E25BA" w:rsidRPr="004E574F">
        <w:rPr>
          <w:lang w:val="en-US"/>
        </w:rPr>
        <w:t xml:space="preserve">esignated resource within WorkSafe </w:t>
      </w:r>
      <w:r w:rsidRPr="004E574F">
        <w:rPr>
          <w:lang w:val="en-US"/>
        </w:rPr>
        <w:t>should be devoted to</w:t>
      </w:r>
      <w:r w:rsidR="000E25BA" w:rsidRPr="004E574F">
        <w:rPr>
          <w:lang w:val="en-US"/>
        </w:rPr>
        <w:t xml:space="preserve"> a review of potential options for adoption of guidance from overseas regulators with necessary adjustments (starting with Australia and the United Kingdom).  </w:t>
      </w:r>
    </w:p>
    <w:p w14:paraId="175C7856" w14:textId="77777777" w:rsidR="00D60ABA" w:rsidRDefault="00D60ABA">
      <w:pPr>
        <w:rPr>
          <w:color w:val="04476E"/>
          <w:spacing w:val="-6"/>
          <w:sz w:val="28"/>
          <w:szCs w:val="28"/>
        </w:rPr>
      </w:pPr>
    </w:p>
    <w:p w14:paraId="518147AB" w14:textId="77777777" w:rsidR="00D60ABA" w:rsidRPr="00D60ABA" w:rsidRDefault="00D60ABA" w:rsidP="00D60ABA">
      <w:pPr>
        <w:pStyle w:val="BodyText"/>
        <w:spacing w:line="400" w:lineRule="exact"/>
        <w:rPr>
          <w:rFonts w:asciiTheme="majorHAnsi" w:hAnsiTheme="majorHAnsi"/>
          <w:b/>
          <w:bCs/>
          <w:color w:val="04476E"/>
          <w:spacing w:val="-6"/>
          <w:sz w:val="28"/>
          <w:szCs w:val="28"/>
        </w:rPr>
      </w:pPr>
      <w:r w:rsidRPr="00D60ABA">
        <w:rPr>
          <w:rFonts w:asciiTheme="majorHAnsi" w:hAnsiTheme="majorHAnsi"/>
          <w:b/>
          <w:bCs/>
          <w:color w:val="04476E"/>
          <w:spacing w:val="-6"/>
          <w:sz w:val="28"/>
          <w:szCs w:val="28"/>
        </w:rPr>
        <w:t>THE HEALTH AND SAFETY REGULATORS</w:t>
      </w:r>
    </w:p>
    <w:p w14:paraId="6D2CD638" w14:textId="5458CDE4" w:rsidR="00425A36" w:rsidRPr="004E574F" w:rsidRDefault="003545D6">
      <w:r w:rsidRPr="003545D6">
        <w:t>New Zealand should streamline its regulatory framework by adopting a single safety regulator for each sector.</w:t>
      </w:r>
    </w:p>
    <w:p w14:paraId="0ACA4534" w14:textId="77777777" w:rsidR="003545D6" w:rsidRDefault="003545D6" w:rsidP="00727CB2">
      <w:pPr>
        <w:spacing w:line="259" w:lineRule="auto"/>
      </w:pPr>
    </w:p>
    <w:p w14:paraId="3204A675" w14:textId="24487557" w:rsidR="00727CB2" w:rsidRPr="004E574F" w:rsidRDefault="00727CB2" w:rsidP="00727CB2">
      <w:pPr>
        <w:spacing w:line="259" w:lineRule="auto"/>
      </w:pPr>
      <w:r w:rsidRPr="004E574F">
        <w:t xml:space="preserve">WorkSafe </w:t>
      </w:r>
      <w:r w:rsidR="007F3B07" w:rsidRPr="004E574F">
        <w:t xml:space="preserve">should </w:t>
      </w:r>
      <w:r w:rsidRPr="004E574F">
        <w:t>amend its strategy to provide greater focus on:</w:t>
      </w:r>
    </w:p>
    <w:p w14:paraId="7772A434" w14:textId="11D36191" w:rsidR="00727CB2" w:rsidRPr="004E574F" w:rsidRDefault="00727CB2" w:rsidP="00727CB2">
      <w:pPr>
        <w:pStyle w:val="ListParagraph"/>
        <w:numPr>
          <w:ilvl w:val="0"/>
          <w:numId w:val="47"/>
        </w:numPr>
        <w:spacing w:line="259" w:lineRule="auto"/>
      </w:pPr>
      <w:r w:rsidRPr="004E574F">
        <w:t>Targeting</w:t>
      </w:r>
      <w:r w:rsidR="005D1520" w:rsidRPr="004E574F">
        <w:t xml:space="preserve"> </w:t>
      </w:r>
      <w:r w:rsidRPr="004E574F">
        <w:t>high risk businesses (via an intelligence-led approach)</w:t>
      </w:r>
    </w:p>
    <w:p w14:paraId="04124698" w14:textId="150B08D6" w:rsidR="00727CB2" w:rsidRPr="004E574F" w:rsidRDefault="00727CB2" w:rsidP="00727CB2">
      <w:pPr>
        <w:pStyle w:val="ListParagraph"/>
        <w:numPr>
          <w:ilvl w:val="0"/>
          <w:numId w:val="47"/>
        </w:numPr>
        <w:spacing w:line="259" w:lineRule="auto"/>
      </w:pPr>
      <w:r w:rsidRPr="004E574F">
        <w:t>Importers</w:t>
      </w:r>
      <w:r w:rsidR="005D1520" w:rsidRPr="004E574F">
        <w:t xml:space="preserve"> </w:t>
      </w:r>
      <w:r w:rsidRPr="004E574F">
        <w:t>and manufacturers of workplace equipment</w:t>
      </w:r>
    </w:p>
    <w:p w14:paraId="4C2AF7AE" w14:textId="32D55F6D" w:rsidR="00727CB2" w:rsidRPr="004E574F" w:rsidRDefault="00727CB2" w:rsidP="00727CB2">
      <w:pPr>
        <w:pStyle w:val="ListParagraph"/>
        <w:numPr>
          <w:ilvl w:val="0"/>
          <w:numId w:val="47"/>
        </w:numPr>
        <w:spacing w:line="259" w:lineRule="auto"/>
      </w:pPr>
      <w:r w:rsidRPr="004E574F">
        <w:t>Engagement</w:t>
      </w:r>
      <w:r w:rsidR="00C12303">
        <w:t xml:space="preserve"> </w:t>
      </w:r>
      <w:r w:rsidRPr="004E574F">
        <w:t>with directors</w:t>
      </w:r>
    </w:p>
    <w:p w14:paraId="52E5A29E" w14:textId="77777777" w:rsidR="00425A36" w:rsidRPr="004E574F" w:rsidRDefault="00425A36"/>
    <w:p w14:paraId="5CEB3B12" w14:textId="5811D812" w:rsidR="00727CB2" w:rsidRPr="004E574F" w:rsidRDefault="00727CB2">
      <w:r w:rsidRPr="004E574F">
        <w:t xml:space="preserve">WorkSafe NZ needs to lift its aspirations and shift its focus to being more strategic, trusted, authoritative, respected (and slightly feared) and visible to its stakeholders. </w:t>
      </w:r>
    </w:p>
    <w:p w14:paraId="5DCD5169" w14:textId="77777777" w:rsidR="00727CB2" w:rsidRPr="004E574F" w:rsidRDefault="00727CB2"/>
    <w:p w14:paraId="64EFDF47" w14:textId="384C0817" w:rsidR="00727CB2" w:rsidRPr="004E574F" w:rsidRDefault="00727CB2" w:rsidP="00727CB2">
      <w:pPr>
        <w:spacing w:line="259" w:lineRule="auto"/>
        <w:rPr>
          <w:rStyle w:val="Strong"/>
          <w:b w:val="0"/>
          <w:bCs w:val="0"/>
        </w:rPr>
      </w:pPr>
      <w:r w:rsidRPr="004E574F">
        <w:rPr>
          <w:rStyle w:val="Strong"/>
          <w:b w:val="0"/>
          <w:bCs w:val="0"/>
        </w:rPr>
        <w:t xml:space="preserve">WorkSafe </w:t>
      </w:r>
      <w:r w:rsidR="007F3B07" w:rsidRPr="004E574F">
        <w:rPr>
          <w:rStyle w:val="Strong"/>
          <w:b w:val="0"/>
          <w:bCs w:val="0"/>
        </w:rPr>
        <w:t xml:space="preserve">should </w:t>
      </w:r>
      <w:r w:rsidRPr="004E574F">
        <w:rPr>
          <w:rStyle w:val="Strong"/>
          <w:b w:val="0"/>
          <w:bCs w:val="0"/>
        </w:rPr>
        <w:t>undertake an international benchmarking exercise (bringing in expertise from Australia and the United Kingdom) to understand:</w:t>
      </w:r>
    </w:p>
    <w:p w14:paraId="61559982" w14:textId="165868CE" w:rsidR="00727CB2" w:rsidRPr="004E574F" w:rsidRDefault="00727CB2" w:rsidP="00727CB2">
      <w:pPr>
        <w:pStyle w:val="ListParagraph"/>
        <w:numPr>
          <w:ilvl w:val="0"/>
          <w:numId w:val="46"/>
        </w:numPr>
        <w:spacing w:line="259" w:lineRule="auto"/>
        <w:rPr>
          <w:rStyle w:val="Strong"/>
          <w:b w:val="0"/>
          <w:bCs w:val="0"/>
        </w:rPr>
      </w:pPr>
      <w:r w:rsidRPr="004E574F">
        <w:rPr>
          <w:rStyle w:val="Strong"/>
          <w:b w:val="0"/>
          <w:bCs w:val="0"/>
        </w:rPr>
        <w:t>Ratios</w:t>
      </w:r>
      <w:r w:rsidR="00C12303">
        <w:rPr>
          <w:rStyle w:val="Strong"/>
          <w:b w:val="0"/>
          <w:bCs w:val="0"/>
        </w:rPr>
        <w:t xml:space="preserve"> </w:t>
      </w:r>
      <w:r w:rsidRPr="004E574F">
        <w:rPr>
          <w:rStyle w:val="Strong"/>
          <w:b w:val="0"/>
          <w:bCs w:val="0"/>
        </w:rPr>
        <w:t>of inspectors to working population and their distribution between industry and role types</w:t>
      </w:r>
    </w:p>
    <w:p w14:paraId="2BEEED97" w14:textId="6F6567F9" w:rsidR="00727CB2" w:rsidRPr="004E574F" w:rsidRDefault="00727CB2" w:rsidP="00727CB2">
      <w:pPr>
        <w:pStyle w:val="ListParagraph"/>
        <w:numPr>
          <w:ilvl w:val="0"/>
          <w:numId w:val="46"/>
        </w:numPr>
        <w:spacing w:line="259" w:lineRule="auto"/>
        <w:rPr>
          <w:rStyle w:val="Strong"/>
          <w:b w:val="0"/>
          <w:bCs w:val="0"/>
        </w:rPr>
      </w:pPr>
      <w:r w:rsidRPr="004E574F">
        <w:rPr>
          <w:rStyle w:val="Strong"/>
          <w:b w:val="0"/>
          <w:bCs w:val="0"/>
        </w:rPr>
        <w:t>How</w:t>
      </w:r>
      <w:r w:rsidR="005D1520" w:rsidRPr="004E574F">
        <w:rPr>
          <w:rStyle w:val="Strong"/>
          <w:b w:val="0"/>
          <w:bCs w:val="0"/>
        </w:rPr>
        <w:t xml:space="preserve"> </w:t>
      </w:r>
      <w:r w:rsidRPr="004E574F">
        <w:rPr>
          <w:rStyle w:val="Strong"/>
          <w:b w:val="0"/>
          <w:bCs w:val="0"/>
        </w:rPr>
        <w:t>inspectors in other jurisdictions are trained and supervised as new, senior and specialist inspectors and how this compares to WorkSafe’s approach (including the question of sector specific training); and</w:t>
      </w:r>
    </w:p>
    <w:p w14:paraId="081D79C6" w14:textId="3EBAB6A2" w:rsidR="00727CB2" w:rsidRPr="004E574F" w:rsidRDefault="00727CB2" w:rsidP="00727CB2">
      <w:pPr>
        <w:pStyle w:val="ListParagraph"/>
        <w:numPr>
          <w:ilvl w:val="0"/>
          <w:numId w:val="46"/>
        </w:numPr>
        <w:spacing w:line="259" w:lineRule="auto"/>
        <w:rPr>
          <w:rStyle w:val="Strong"/>
          <w:b w:val="0"/>
          <w:bCs w:val="0"/>
        </w:rPr>
      </w:pPr>
      <w:r w:rsidRPr="004E574F">
        <w:rPr>
          <w:rStyle w:val="Strong"/>
          <w:b w:val="0"/>
          <w:bCs w:val="0"/>
        </w:rPr>
        <w:t>Recruitment</w:t>
      </w:r>
      <w:r w:rsidR="005D1520" w:rsidRPr="004E574F">
        <w:rPr>
          <w:rStyle w:val="Strong"/>
          <w:b w:val="0"/>
          <w:bCs w:val="0"/>
        </w:rPr>
        <w:t xml:space="preserve"> </w:t>
      </w:r>
      <w:r w:rsidRPr="004E574F">
        <w:rPr>
          <w:rStyle w:val="Strong"/>
          <w:b w:val="0"/>
          <w:bCs w:val="0"/>
        </w:rPr>
        <w:t>strategies of the Australian and United Kingdom regulators for inspectorate staff (including market relativities)</w:t>
      </w:r>
    </w:p>
    <w:p w14:paraId="6DD55215" w14:textId="77777777" w:rsidR="00727CB2" w:rsidRPr="004E574F" w:rsidRDefault="00727CB2" w:rsidP="00727CB2">
      <w:pPr>
        <w:spacing w:line="259" w:lineRule="auto"/>
        <w:rPr>
          <w:rStyle w:val="Strong"/>
        </w:rPr>
      </w:pPr>
    </w:p>
    <w:p w14:paraId="37C38247" w14:textId="5554B651" w:rsidR="00206345" w:rsidRPr="004E574F" w:rsidRDefault="00206345" w:rsidP="00206345">
      <w:pPr>
        <w:spacing w:line="259" w:lineRule="auto"/>
        <w:rPr>
          <w:rFonts w:ascii="Aptos" w:hAnsi="Aptos"/>
        </w:rPr>
      </w:pPr>
      <w:r w:rsidRPr="004E574F">
        <w:rPr>
          <w:rFonts w:ascii="Aptos" w:hAnsi="Aptos"/>
        </w:rPr>
        <w:t xml:space="preserve">The current four priority sectors should move to </w:t>
      </w:r>
      <w:r w:rsidR="005D1520">
        <w:rPr>
          <w:rFonts w:ascii="Aptos" w:hAnsi="Aptos"/>
        </w:rPr>
        <w:t xml:space="preserve">a </w:t>
      </w:r>
      <w:r w:rsidRPr="004E574F">
        <w:rPr>
          <w:rFonts w:ascii="Aptos" w:hAnsi="Aptos"/>
        </w:rPr>
        <w:t>co-governed Standing Committee model with WorkSafe and ACC as the facilitators, catalyst</w:t>
      </w:r>
      <w:r w:rsidR="005D1520">
        <w:rPr>
          <w:rFonts w:ascii="Aptos" w:hAnsi="Aptos"/>
        </w:rPr>
        <w:t>s</w:t>
      </w:r>
      <w:r w:rsidRPr="004E574F">
        <w:rPr>
          <w:rFonts w:ascii="Aptos" w:hAnsi="Aptos"/>
        </w:rPr>
        <w:t>, funders, intelligence and evaluation provider</w:t>
      </w:r>
      <w:r w:rsidR="005D1520">
        <w:rPr>
          <w:rFonts w:ascii="Aptos" w:hAnsi="Aptos"/>
        </w:rPr>
        <w:t>s</w:t>
      </w:r>
      <w:r w:rsidRPr="004E574F">
        <w:rPr>
          <w:rFonts w:ascii="Aptos" w:hAnsi="Aptos"/>
        </w:rPr>
        <w:t xml:space="preserve">, with industry groups having a formal oversight and governance role. </w:t>
      </w:r>
    </w:p>
    <w:p w14:paraId="5CA5EFDD" w14:textId="77777777" w:rsidR="00727CB2" w:rsidRPr="004E574F" w:rsidRDefault="00727CB2"/>
    <w:p w14:paraId="295FB0D1" w14:textId="58145801" w:rsidR="00111955" w:rsidRPr="004E574F" w:rsidRDefault="00111955">
      <w:r w:rsidRPr="004E574F">
        <w:rPr>
          <w:rFonts w:ascii="Aptos" w:hAnsi="Aptos"/>
        </w:rPr>
        <w:t>WorkSafe should develop a priority plan to address cross-cutting risks (including those outside of the current priority sectors) including robust intervention logic and engagement with sectoral and cross-sectoral stakeholders</w:t>
      </w:r>
      <w:r w:rsidR="005D1520">
        <w:rPr>
          <w:rFonts w:ascii="Aptos" w:hAnsi="Aptos"/>
        </w:rPr>
        <w:t>.</w:t>
      </w:r>
    </w:p>
    <w:p w14:paraId="31E37D09" w14:textId="77777777" w:rsidR="006D2710" w:rsidRPr="004E574F" w:rsidRDefault="00425A36">
      <w:r w:rsidRPr="004E574F">
        <w:t xml:space="preserve"> </w:t>
      </w:r>
    </w:p>
    <w:p w14:paraId="7F408D1F" w14:textId="5B274375" w:rsidR="006D2710" w:rsidRPr="004E574F" w:rsidRDefault="006D2710" w:rsidP="006D2710">
      <w:pPr>
        <w:spacing w:line="259" w:lineRule="auto"/>
        <w:rPr>
          <w:rFonts w:ascii="Aptos" w:hAnsi="Aptos"/>
        </w:rPr>
      </w:pPr>
      <w:r w:rsidRPr="004E574F">
        <w:rPr>
          <w:rFonts w:ascii="Aptos" w:hAnsi="Aptos"/>
        </w:rPr>
        <w:t xml:space="preserve">Government </w:t>
      </w:r>
      <w:r w:rsidR="008725A5">
        <w:rPr>
          <w:rFonts w:ascii="Aptos" w:hAnsi="Aptos"/>
        </w:rPr>
        <w:t xml:space="preserve">should </w:t>
      </w:r>
      <w:r w:rsidRPr="004E574F">
        <w:rPr>
          <w:rFonts w:ascii="Aptos" w:hAnsi="Aptos"/>
        </w:rPr>
        <w:t>review injury prevention funding arrangements with a view towards:</w:t>
      </w:r>
      <w:r w:rsidRPr="004E574F">
        <w:rPr>
          <w:rFonts w:ascii="Aptos" w:hAnsi="Aptos"/>
        </w:rPr>
        <w:tab/>
      </w:r>
    </w:p>
    <w:p w14:paraId="6A72C9B5" w14:textId="1DABA2B5" w:rsidR="006D2710" w:rsidRPr="004E574F" w:rsidRDefault="006D2710" w:rsidP="006D2710">
      <w:pPr>
        <w:pStyle w:val="ListParagraph"/>
        <w:numPr>
          <w:ilvl w:val="0"/>
          <w:numId w:val="48"/>
        </w:numPr>
        <w:spacing w:line="259" w:lineRule="auto"/>
        <w:rPr>
          <w:rFonts w:ascii="Aptos" w:hAnsi="Aptos"/>
        </w:rPr>
      </w:pPr>
      <w:r w:rsidRPr="004E574F">
        <w:rPr>
          <w:rFonts w:ascii="Aptos" w:hAnsi="Aptos"/>
        </w:rPr>
        <w:t>Risk-rating the Working Safer Levy and increasing risk rating within the ACC work account levy setting process</w:t>
      </w:r>
    </w:p>
    <w:p w14:paraId="50B110BA" w14:textId="53470FD3" w:rsidR="006D2710" w:rsidRPr="004E574F" w:rsidRDefault="006D2710" w:rsidP="006D2710">
      <w:pPr>
        <w:pStyle w:val="ListParagraph"/>
        <w:numPr>
          <w:ilvl w:val="0"/>
          <w:numId w:val="48"/>
        </w:numPr>
        <w:spacing w:line="259" w:lineRule="auto"/>
        <w:rPr>
          <w:rFonts w:ascii="Aptos" w:hAnsi="Aptos"/>
        </w:rPr>
      </w:pPr>
      <w:r w:rsidRPr="004E574F">
        <w:rPr>
          <w:rFonts w:ascii="Aptos" w:hAnsi="Aptos"/>
        </w:rPr>
        <w:t xml:space="preserve">Amending the balance between the Working Safer and ACC work account levies to permit greater injury prevention funding that sits outside of ACC’s narrow </w:t>
      </w:r>
      <w:r w:rsidR="00540DC9" w:rsidRPr="004E574F">
        <w:rPr>
          <w:rFonts w:ascii="Aptos" w:hAnsi="Aptos"/>
        </w:rPr>
        <w:t xml:space="preserve">return on investment </w:t>
      </w:r>
      <w:r w:rsidRPr="004E574F">
        <w:rPr>
          <w:rFonts w:ascii="Aptos" w:hAnsi="Aptos"/>
        </w:rPr>
        <w:t>calculation of reduction in levies</w:t>
      </w:r>
    </w:p>
    <w:p w14:paraId="33DB7F98" w14:textId="7A3B62B7" w:rsidR="006D2710" w:rsidRPr="004E574F" w:rsidRDefault="006D2710" w:rsidP="006D2710">
      <w:pPr>
        <w:pStyle w:val="ListParagraph"/>
        <w:numPr>
          <w:ilvl w:val="0"/>
          <w:numId w:val="48"/>
        </w:numPr>
        <w:spacing w:line="259" w:lineRule="auto"/>
        <w:rPr>
          <w:rFonts w:ascii="Aptos" w:hAnsi="Aptos"/>
        </w:rPr>
      </w:pPr>
      <w:r w:rsidRPr="004E574F">
        <w:rPr>
          <w:rFonts w:ascii="Aptos" w:hAnsi="Aptos"/>
        </w:rPr>
        <w:lastRenderedPageBreak/>
        <w:t xml:space="preserve"> Providing greater certainty and stability of long-term funding for partners</w:t>
      </w:r>
    </w:p>
    <w:p w14:paraId="137A224B" w14:textId="47DD5738" w:rsidR="00540DC9" w:rsidRDefault="00540DC9" w:rsidP="00540DC9">
      <w:pPr>
        <w:pStyle w:val="ListParagraph"/>
        <w:numPr>
          <w:ilvl w:val="0"/>
          <w:numId w:val="48"/>
        </w:numPr>
        <w:spacing w:line="259" w:lineRule="auto"/>
        <w:rPr>
          <w:rFonts w:ascii="Aptos" w:hAnsi="Aptos"/>
        </w:rPr>
      </w:pPr>
      <w:r w:rsidRPr="004E574F">
        <w:rPr>
          <w:rFonts w:ascii="Aptos" w:hAnsi="Aptos"/>
        </w:rPr>
        <w:t>Significantly increasing investment in occupational health injury prevention initiatives</w:t>
      </w:r>
    </w:p>
    <w:p w14:paraId="6EB1B456" w14:textId="77777777" w:rsidR="00C12303" w:rsidRPr="004E574F" w:rsidRDefault="00C12303" w:rsidP="00C12303">
      <w:pPr>
        <w:pStyle w:val="ListParagraph"/>
        <w:spacing w:line="259" w:lineRule="auto"/>
        <w:rPr>
          <w:rFonts w:ascii="Aptos" w:hAnsi="Aptos"/>
        </w:rPr>
      </w:pPr>
    </w:p>
    <w:p w14:paraId="1E783830" w14:textId="77777777" w:rsidR="00540DC9" w:rsidRDefault="00425A36" w:rsidP="00540DC9">
      <w:pPr>
        <w:pStyle w:val="BodyText"/>
        <w:spacing w:line="400" w:lineRule="exact"/>
        <w:rPr>
          <w:rFonts w:asciiTheme="majorHAnsi" w:hAnsiTheme="majorHAnsi"/>
          <w:b/>
          <w:bCs/>
          <w:color w:val="04476E"/>
          <w:spacing w:val="-6"/>
          <w:sz w:val="28"/>
          <w:szCs w:val="28"/>
        </w:rPr>
      </w:pPr>
      <w:r w:rsidRPr="00540DC9">
        <w:rPr>
          <w:rFonts w:asciiTheme="majorHAnsi" w:hAnsiTheme="majorHAnsi"/>
          <w:b/>
          <w:bCs/>
          <w:color w:val="04476E"/>
          <w:spacing w:val="-6"/>
          <w:sz w:val="28"/>
          <w:szCs w:val="28"/>
        </w:rPr>
        <w:t xml:space="preserve"> </w:t>
      </w:r>
    </w:p>
    <w:p w14:paraId="5C3816F0" w14:textId="517F5F4F" w:rsidR="00540DC9" w:rsidRPr="00540DC9" w:rsidRDefault="00540DC9" w:rsidP="00540DC9">
      <w:pPr>
        <w:pStyle w:val="BodyText"/>
        <w:spacing w:line="400" w:lineRule="exact"/>
        <w:rPr>
          <w:rFonts w:asciiTheme="majorHAnsi" w:hAnsiTheme="majorHAnsi"/>
          <w:b/>
          <w:bCs/>
          <w:color w:val="04476E"/>
          <w:spacing w:val="-6"/>
          <w:sz w:val="28"/>
          <w:szCs w:val="28"/>
        </w:rPr>
      </w:pPr>
      <w:r w:rsidRPr="00540DC9">
        <w:rPr>
          <w:rFonts w:asciiTheme="majorHAnsi" w:hAnsiTheme="majorHAnsi"/>
          <w:b/>
          <w:bCs/>
          <w:color w:val="04476E"/>
          <w:spacing w:val="-6"/>
          <w:sz w:val="28"/>
          <w:szCs w:val="28"/>
        </w:rPr>
        <w:t>THE HEALTH AND SAFETY AT WORK STRATEGY</w:t>
      </w:r>
    </w:p>
    <w:p w14:paraId="067CBD62" w14:textId="255BA021" w:rsidR="00540DC9" w:rsidRPr="004E574F" w:rsidRDefault="004E574F">
      <w:r w:rsidRPr="004E574F">
        <w:t xml:space="preserve">A </w:t>
      </w:r>
      <w:r w:rsidR="00540DC9" w:rsidRPr="004E574F">
        <w:t xml:space="preserve"> targeted review of the Health and Safety </w:t>
      </w:r>
      <w:r w:rsidR="005D1520">
        <w:t xml:space="preserve">at Work </w:t>
      </w:r>
      <w:r w:rsidR="00540DC9" w:rsidRPr="004E574F">
        <w:t xml:space="preserve">Strategy </w:t>
      </w:r>
      <w:r w:rsidRPr="004E574F">
        <w:t>should be</w:t>
      </w:r>
      <w:r w:rsidR="00540DC9" w:rsidRPr="004E574F">
        <w:t xml:space="preserve"> undertaken. A major focus of a refreshed Strategy needs to be implementation of action plans to address major risks and opportunities.</w:t>
      </w:r>
    </w:p>
    <w:p w14:paraId="3598DF2C" w14:textId="77777777" w:rsidR="00540DC9" w:rsidRPr="004E574F" w:rsidRDefault="00540DC9"/>
    <w:p w14:paraId="44B67A12" w14:textId="5E0767DC" w:rsidR="00540DC9" w:rsidRPr="004E574F" w:rsidRDefault="00540DC9" w:rsidP="00540DC9">
      <w:r w:rsidRPr="004E574F">
        <w:t>Officials (and perhaps key stakeholders) should be tasked to engage with the Australian regulators to understand lessons learned and success factors for the Australian strategy.</w:t>
      </w:r>
    </w:p>
    <w:p w14:paraId="7290D152" w14:textId="77777777" w:rsidR="00540DC9" w:rsidRPr="004E574F" w:rsidRDefault="00540DC9">
      <w:r w:rsidRPr="004E574F">
        <w:t xml:space="preserve"> </w:t>
      </w:r>
    </w:p>
    <w:p w14:paraId="231CC7BB" w14:textId="38DBCC7F" w:rsidR="00540DC9" w:rsidRPr="004E574F" w:rsidRDefault="004E574F">
      <w:r w:rsidRPr="004E574F">
        <w:t>The</w:t>
      </w:r>
      <w:r w:rsidR="00540DC9" w:rsidRPr="004E574F">
        <w:t xml:space="preserve"> refreshed strategy </w:t>
      </w:r>
      <w:r w:rsidRPr="004E574F">
        <w:t xml:space="preserve">should </w:t>
      </w:r>
      <w:r w:rsidR="00540DC9" w:rsidRPr="004E574F">
        <w:t xml:space="preserve">developed </w:t>
      </w:r>
      <w:r w:rsidRPr="004E574F">
        <w:t xml:space="preserve">and monitored </w:t>
      </w:r>
      <w:r w:rsidR="00540DC9" w:rsidRPr="004E574F">
        <w:t>by an independent Ministerial Advisory Group.  We encourage officials to investigate the Ministerial Work Health and Safety Board model in Queensland as a possible model for the Ministerial Advisory Group.</w:t>
      </w:r>
    </w:p>
    <w:p w14:paraId="4F84AEEF" w14:textId="77777777" w:rsidR="00540DC9" w:rsidRPr="004E574F" w:rsidRDefault="00540DC9"/>
    <w:p w14:paraId="3037EC5A" w14:textId="77777777" w:rsidR="00540DC9" w:rsidRPr="004E574F" w:rsidRDefault="00540DC9" w:rsidP="00540DC9">
      <w:r w:rsidRPr="004E574F">
        <w:t>We recommend that the Ministerial Advisory group should include representatives of:</w:t>
      </w:r>
    </w:p>
    <w:p w14:paraId="6C731741" w14:textId="4C6BD386" w:rsidR="00540DC9" w:rsidRPr="004E574F" w:rsidRDefault="00540DC9" w:rsidP="00540DC9">
      <w:pPr>
        <w:pStyle w:val="ListParagraph"/>
        <w:numPr>
          <w:ilvl w:val="0"/>
          <w:numId w:val="35"/>
        </w:numPr>
      </w:pPr>
      <w:r w:rsidRPr="004E574F">
        <w:t>Employers and workers</w:t>
      </w:r>
    </w:p>
    <w:p w14:paraId="164FFB4C" w14:textId="04069013" w:rsidR="00540DC9" w:rsidRPr="004E574F" w:rsidRDefault="00540DC9" w:rsidP="00540DC9">
      <w:pPr>
        <w:pStyle w:val="ListParagraph"/>
        <w:numPr>
          <w:ilvl w:val="0"/>
          <w:numId w:val="35"/>
        </w:numPr>
      </w:pPr>
      <w:r w:rsidRPr="004E574F">
        <w:t>Health and safety experts (including practitioners and academics)</w:t>
      </w:r>
    </w:p>
    <w:p w14:paraId="15684EA1" w14:textId="49C39975" w:rsidR="00540DC9" w:rsidRPr="004E574F" w:rsidRDefault="00540DC9" w:rsidP="00540DC9">
      <w:pPr>
        <w:pStyle w:val="ListParagraph"/>
        <w:numPr>
          <w:ilvl w:val="0"/>
          <w:numId w:val="35"/>
        </w:numPr>
      </w:pPr>
      <w:r w:rsidRPr="004E574F">
        <w:t>Iwi</w:t>
      </w:r>
    </w:p>
    <w:p w14:paraId="0876133F" w14:textId="77777777" w:rsidR="00540DC9" w:rsidRPr="004E574F" w:rsidRDefault="00540DC9" w:rsidP="00540DC9"/>
    <w:p w14:paraId="5D9D3CEB" w14:textId="795AE54A" w:rsidR="00540DC9" w:rsidRPr="004E574F" w:rsidRDefault="00540DC9" w:rsidP="00540DC9">
      <w:r w:rsidRPr="004E574F">
        <w:t xml:space="preserve">It may be useful to consider the role of victims (per the Queensland model). The role of Government agencies should be carefully thought through. It may be more appropriate for Government agencies to act as a secretariat </w:t>
      </w:r>
      <w:r w:rsidR="005D1520">
        <w:t xml:space="preserve">rather </w:t>
      </w:r>
      <w:r w:rsidRPr="004E574F">
        <w:t>than full voting members.</w:t>
      </w:r>
    </w:p>
    <w:p w14:paraId="1BC3D41D" w14:textId="22270F5A" w:rsidR="00DD0971" w:rsidRDefault="00DD0971">
      <w:pPr>
        <w:rPr>
          <w:rFonts w:ascii="Lucida Sans" w:hAnsi="Lucida Sans" w:cs="Lucida Sans"/>
          <w:color w:val="04476E"/>
          <w:spacing w:val="-6"/>
          <w:sz w:val="28"/>
          <w:szCs w:val="28"/>
        </w:rPr>
      </w:pPr>
      <w:r>
        <w:rPr>
          <w:color w:val="04476E"/>
          <w:spacing w:val="-6"/>
          <w:sz w:val="28"/>
          <w:szCs w:val="28"/>
        </w:rPr>
        <w:br w:type="page"/>
      </w:r>
    </w:p>
    <w:bookmarkStart w:id="1" w:name="_Toc177397959" w:displacedByCustomXml="next"/>
    <w:sdt>
      <w:sdtPr>
        <w:rPr>
          <w:rFonts w:asciiTheme="minorHAnsi" w:eastAsiaTheme="minorHAnsi" w:hAnsiTheme="minorHAnsi" w:cstheme="minorBidi"/>
          <w:color w:val="auto"/>
          <w:sz w:val="24"/>
          <w:szCs w:val="24"/>
        </w:rPr>
        <w:id w:val="952752716"/>
        <w:docPartObj>
          <w:docPartGallery w:val="Table of Contents"/>
          <w:docPartUnique/>
        </w:docPartObj>
      </w:sdtPr>
      <w:sdtEndPr>
        <w:rPr>
          <w:b/>
          <w:bCs/>
          <w:noProof/>
        </w:rPr>
      </w:sdtEndPr>
      <w:sdtContent>
        <w:p w14:paraId="173CF92E" w14:textId="360602F8" w:rsidR="00DD0971" w:rsidRPr="00DD0971" w:rsidRDefault="00DD0971" w:rsidP="00F23BA7">
          <w:pPr>
            <w:pStyle w:val="Heading1"/>
            <w:rPr>
              <w:b/>
              <w:bCs/>
              <w:color w:val="04476E"/>
              <w:spacing w:val="-6"/>
              <w:sz w:val="36"/>
              <w:szCs w:val="36"/>
            </w:rPr>
          </w:pPr>
          <w:r w:rsidRPr="00DD0971">
            <w:rPr>
              <w:b/>
              <w:bCs/>
              <w:color w:val="04476E"/>
              <w:spacing w:val="-6"/>
              <w:sz w:val="36"/>
              <w:szCs w:val="36"/>
            </w:rPr>
            <w:t>TABLE OF CONTENTS</w:t>
          </w:r>
          <w:bookmarkEnd w:id="1"/>
        </w:p>
        <w:p w14:paraId="11079459" w14:textId="3390BB0D" w:rsidR="00F23BA7" w:rsidRPr="00F23BA7" w:rsidRDefault="00DD0971">
          <w:pPr>
            <w:pStyle w:val="TOC1"/>
            <w:tabs>
              <w:tab w:val="right" w:leader="dot" w:pos="9350"/>
            </w:tabs>
            <w:rPr>
              <w:rFonts w:eastAsiaTheme="minorEastAsia"/>
              <w:b w:val="0"/>
              <w:bCs w:val="0"/>
              <w:i w:val="0"/>
              <w:iCs w:val="0"/>
              <w:noProof/>
              <w:sz w:val="21"/>
              <w:szCs w:val="21"/>
              <w:lang w:val="en-US"/>
            </w:rPr>
          </w:pPr>
          <w:r w:rsidRPr="00F23BA7">
            <w:rPr>
              <w:b w:val="0"/>
              <w:bCs w:val="0"/>
              <w:sz w:val="20"/>
              <w:szCs w:val="20"/>
            </w:rPr>
            <w:fldChar w:fldCharType="begin"/>
          </w:r>
          <w:r w:rsidRPr="00F23BA7">
            <w:rPr>
              <w:sz w:val="20"/>
              <w:szCs w:val="20"/>
            </w:rPr>
            <w:instrText xml:space="preserve"> TOC \o "1-3" \h \z \u </w:instrText>
          </w:r>
          <w:r w:rsidRPr="00F23BA7">
            <w:rPr>
              <w:b w:val="0"/>
              <w:bCs w:val="0"/>
              <w:sz w:val="20"/>
              <w:szCs w:val="20"/>
            </w:rPr>
            <w:fldChar w:fldCharType="separate"/>
          </w:r>
          <w:hyperlink w:anchor="_Toc177397958" w:history="1">
            <w:r w:rsidR="00F23BA7" w:rsidRPr="00F23BA7">
              <w:rPr>
                <w:rStyle w:val="Hyperlink"/>
                <w:rFonts w:asciiTheme="majorHAnsi" w:hAnsiTheme="majorHAnsi"/>
                <w:noProof/>
                <w:spacing w:val="-6"/>
                <w:sz w:val="21"/>
                <w:szCs w:val="21"/>
              </w:rPr>
              <w:t>SUMMARY OF RECOMMENDATIONS</w:t>
            </w:r>
            <w:r w:rsidR="00F23BA7" w:rsidRPr="00F23BA7">
              <w:rPr>
                <w:noProof/>
                <w:webHidden/>
                <w:sz w:val="21"/>
                <w:szCs w:val="21"/>
              </w:rPr>
              <w:tab/>
            </w:r>
            <w:r w:rsidR="00F23BA7" w:rsidRPr="00F23BA7">
              <w:rPr>
                <w:noProof/>
                <w:webHidden/>
                <w:sz w:val="21"/>
                <w:szCs w:val="21"/>
              </w:rPr>
              <w:fldChar w:fldCharType="begin"/>
            </w:r>
            <w:r w:rsidR="00F23BA7" w:rsidRPr="00F23BA7">
              <w:rPr>
                <w:noProof/>
                <w:webHidden/>
                <w:sz w:val="21"/>
                <w:szCs w:val="21"/>
              </w:rPr>
              <w:instrText xml:space="preserve"> PAGEREF _Toc177397958 \h </w:instrText>
            </w:r>
            <w:r w:rsidR="00F23BA7" w:rsidRPr="00F23BA7">
              <w:rPr>
                <w:noProof/>
                <w:webHidden/>
                <w:sz w:val="21"/>
                <w:szCs w:val="21"/>
              </w:rPr>
            </w:r>
            <w:r w:rsidR="00F23BA7" w:rsidRPr="00F23BA7">
              <w:rPr>
                <w:noProof/>
                <w:webHidden/>
                <w:sz w:val="21"/>
                <w:szCs w:val="21"/>
              </w:rPr>
              <w:fldChar w:fldCharType="separate"/>
            </w:r>
            <w:r w:rsidR="0083193F">
              <w:rPr>
                <w:noProof/>
                <w:webHidden/>
                <w:sz w:val="21"/>
                <w:szCs w:val="21"/>
              </w:rPr>
              <w:t>2</w:t>
            </w:r>
            <w:r w:rsidR="00F23BA7" w:rsidRPr="00F23BA7">
              <w:rPr>
                <w:noProof/>
                <w:webHidden/>
                <w:sz w:val="21"/>
                <w:szCs w:val="21"/>
              </w:rPr>
              <w:fldChar w:fldCharType="end"/>
            </w:r>
          </w:hyperlink>
        </w:p>
        <w:p w14:paraId="6AD2D646" w14:textId="62249481"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59" w:history="1">
            <w:r w:rsidRPr="00F23BA7">
              <w:rPr>
                <w:rStyle w:val="Hyperlink"/>
                <w:noProof/>
                <w:spacing w:val="-6"/>
                <w:sz w:val="21"/>
                <w:szCs w:val="21"/>
              </w:rPr>
              <w:t>TABLE OF CONTENTS</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_Toc177397959 \h </w:instrText>
            </w:r>
            <w:r w:rsidRPr="00F23BA7">
              <w:rPr>
                <w:noProof/>
                <w:webHidden/>
                <w:sz w:val="21"/>
                <w:szCs w:val="21"/>
              </w:rPr>
            </w:r>
            <w:r w:rsidRPr="00F23BA7">
              <w:rPr>
                <w:noProof/>
                <w:webHidden/>
                <w:sz w:val="21"/>
                <w:szCs w:val="21"/>
              </w:rPr>
              <w:fldChar w:fldCharType="separate"/>
            </w:r>
            <w:r w:rsidR="0083193F">
              <w:rPr>
                <w:noProof/>
                <w:webHidden/>
                <w:sz w:val="21"/>
                <w:szCs w:val="21"/>
              </w:rPr>
              <w:t>5</w:t>
            </w:r>
            <w:r w:rsidRPr="00F23BA7">
              <w:rPr>
                <w:noProof/>
                <w:webHidden/>
                <w:sz w:val="21"/>
                <w:szCs w:val="21"/>
              </w:rPr>
              <w:fldChar w:fldCharType="end"/>
            </w:r>
          </w:hyperlink>
        </w:p>
        <w:p w14:paraId="35732142" w14:textId="39C26864"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60" w:history="1">
            <w:r w:rsidRPr="00F23BA7">
              <w:rPr>
                <w:rStyle w:val="Hyperlink"/>
                <w:rFonts w:asciiTheme="majorHAnsi" w:hAnsiTheme="majorHAnsi"/>
                <w:noProof/>
                <w:spacing w:val="-6"/>
                <w:sz w:val="21"/>
                <w:szCs w:val="21"/>
              </w:rPr>
              <w:t>INTRODUCTION</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_Toc177397960 \h </w:instrText>
            </w:r>
            <w:r w:rsidRPr="00F23BA7">
              <w:rPr>
                <w:noProof/>
                <w:webHidden/>
                <w:sz w:val="21"/>
                <w:szCs w:val="21"/>
              </w:rPr>
            </w:r>
            <w:r w:rsidRPr="00F23BA7">
              <w:rPr>
                <w:noProof/>
                <w:webHidden/>
                <w:sz w:val="21"/>
                <w:szCs w:val="21"/>
              </w:rPr>
              <w:fldChar w:fldCharType="separate"/>
            </w:r>
            <w:r w:rsidR="0083193F">
              <w:rPr>
                <w:noProof/>
                <w:webHidden/>
                <w:sz w:val="21"/>
                <w:szCs w:val="21"/>
              </w:rPr>
              <w:t>6</w:t>
            </w:r>
            <w:r w:rsidRPr="00F23BA7">
              <w:rPr>
                <w:noProof/>
                <w:webHidden/>
                <w:sz w:val="21"/>
                <w:szCs w:val="21"/>
              </w:rPr>
              <w:fldChar w:fldCharType="end"/>
            </w:r>
          </w:hyperlink>
        </w:p>
        <w:p w14:paraId="1CCFB520" w14:textId="0B464CFE" w:rsidR="00F23BA7" w:rsidRPr="00F23BA7" w:rsidRDefault="00F23BA7">
          <w:pPr>
            <w:pStyle w:val="TOC2"/>
            <w:tabs>
              <w:tab w:val="right" w:leader="dot" w:pos="9350"/>
            </w:tabs>
            <w:rPr>
              <w:rFonts w:eastAsiaTheme="minorEastAsia"/>
              <w:b w:val="0"/>
              <w:bCs w:val="0"/>
              <w:noProof/>
              <w:sz w:val="21"/>
              <w:szCs w:val="21"/>
              <w:lang w:val="en-US"/>
            </w:rPr>
          </w:pPr>
          <w:hyperlink w:anchor="_Toc177397961" w:history="1">
            <w:r w:rsidRPr="00F23BA7">
              <w:rPr>
                <w:rStyle w:val="Hyperlink"/>
                <w:noProof/>
                <w:sz w:val="20"/>
                <w:szCs w:val="20"/>
              </w:rPr>
              <w:t>About NZISM</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_Toc177397961 \h </w:instrText>
            </w:r>
            <w:r w:rsidRPr="00F23BA7">
              <w:rPr>
                <w:noProof/>
                <w:webHidden/>
                <w:sz w:val="20"/>
                <w:szCs w:val="20"/>
              </w:rPr>
            </w:r>
            <w:r w:rsidRPr="00F23BA7">
              <w:rPr>
                <w:noProof/>
                <w:webHidden/>
                <w:sz w:val="20"/>
                <w:szCs w:val="20"/>
              </w:rPr>
              <w:fldChar w:fldCharType="separate"/>
            </w:r>
            <w:r w:rsidR="0083193F">
              <w:rPr>
                <w:noProof/>
                <w:webHidden/>
                <w:sz w:val="20"/>
                <w:szCs w:val="20"/>
              </w:rPr>
              <w:t>6</w:t>
            </w:r>
            <w:r w:rsidRPr="00F23BA7">
              <w:rPr>
                <w:noProof/>
                <w:webHidden/>
                <w:sz w:val="20"/>
                <w:szCs w:val="20"/>
              </w:rPr>
              <w:fldChar w:fldCharType="end"/>
            </w:r>
          </w:hyperlink>
        </w:p>
        <w:p w14:paraId="67643F6D" w14:textId="77C93237" w:rsidR="00F23BA7" w:rsidRPr="00F23BA7" w:rsidRDefault="00F23BA7">
          <w:pPr>
            <w:pStyle w:val="TOC2"/>
            <w:tabs>
              <w:tab w:val="right" w:leader="dot" w:pos="9350"/>
            </w:tabs>
            <w:rPr>
              <w:rFonts w:eastAsiaTheme="minorEastAsia"/>
              <w:b w:val="0"/>
              <w:bCs w:val="0"/>
              <w:noProof/>
              <w:sz w:val="21"/>
              <w:szCs w:val="21"/>
              <w:lang w:val="en-US"/>
            </w:rPr>
          </w:pPr>
          <w:hyperlink w:anchor="_Toc177397962" w:history="1">
            <w:r w:rsidRPr="00F23BA7">
              <w:rPr>
                <w:rStyle w:val="Hyperlink"/>
                <w:noProof/>
                <w:sz w:val="20"/>
                <w:szCs w:val="20"/>
              </w:rPr>
              <w:t>The case for investment in better safety and health outcomes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_Toc177397962 \h </w:instrText>
            </w:r>
            <w:r w:rsidRPr="00F23BA7">
              <w:rPr>
                <w:noProof/>
                <w:webHidden/>
                <w:sz w:val="20"/>
                <w:szCs w:val="20"/>
              </w:rPr>
            </w:r>
            <w:r w:rsidRPr="00F23BA7">
              <w:rPr>
                <w:noProof/>
                <w:webHidden/>
                <w:sz w:val="20"/>
                <w:szCs w:val="20"/>
              </w:rPr>
              <w:fldChar w:fldCharType="separate"/>
            </w:r>
            <w:r w:rsidR="0083193F">
              <w:rPr>
                <w:noProof/>
                <w:webHidden/>
                <w:sz w:val="20"/>
                <w:szCs w:val="20"/>
              </w:rPr>
              <w:t>6</w:t>
            </w:r>
            <w:r w:rsidRPr="00F23BA7">
              <w:rPr>
                <w:noProof/>
                <w:webHidden/>
                <w:sz w:val="20"/>
                <w:szCs w:val="20"/>
              </w:rPr>
              <w:fldChar w:fldCharType="end"/>
            </w:r>
          </w:hyperlink>
        </w:p>
        <w:p w14:paraId="0BE21849" w14:textId="7C77751D" w:rsidR="00F23BA7" w:rsidRPr="00F23BA7" w:rsidRDefault="00F23BA7">
          <w:pPr>
            <w:pStyle w:val="TOC2"/>
            <w:tabs>
              <w:tab w:val="right" w:leader="dot" w:pos="9350"/>
            </w:tabs>
            <w:rPr>
              <w:rFonts w:eastAsiaTheme="minorEastAsia"/>
              <w:b w:val="0"/>
              <w:bCs w:val="0"/>
              <w:noProof/>
              <w:sz w:val="21"/>
              <w:szCs w:val="21"/>
              <w:lang w:val="en-US"/>
            </w:rPr>
          </w:pPr>
          <w:hyperlink w:anchor="_Toc177397963" w:history="1">
            <w:r w:rsidRPr="00F23BA7">
              <w:rPr>
                <w:rStyle w:val="Hyperlink"/>
                <w:noProof/>
                <w:sz w:val="20"/>
                <w:szCs w:val="20"/>
              </w:rPr>
              <w:t>The structure of this submission</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_Toc177397963 \h </w:instrText>
            </w:r>
            <w:r w:rsidRPr="00F23BA7">
              <w:rPr>
                <w:noProof/>
                <w:webHidden/>
                <w:sz w:val="20"/>
                <w:szCs w:val="20"/>
              </w:rPr>
            </w:r>
            <w:r w:rsidRPr="00F23BA7">
              <w:rPr>
                <w:noProof/>
                <w:webHidden/>
                <w:sz w:val="20"/>
                <w:szCs w:val="20"/>
              </w:rPr>
              <w:fldChar w:fldCharType="separate"/>
            </w:r>
            <w:r w:rsidR="0083193F">
              <w:rPr>
                <w:noProof/>
                <w:webHidden/>
                <w:sz w:val="20"/>
                <w:szCs w:val="20"/>
              </w:rPr>
              <w:t>8</w:t>
            </w:r>
            <w:r w:rsidRPr="00F23BA7">
              <w:rPr>
                <w:noProof/>
                <w:webHidden/>
                <w:sz w:val="20"/>
                <w:szCs w:val="20"/>
              </w:rPr>
              <w:fldChar w:fldCharType="end"/>
            </w:r>
          </w:hyperlink>
        </w:p>
        <w:p w14:paraId="7BCA5A45" w14:textId="3802CCCE"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64" w:history="1">
            <w:r w:rsidRPr="00F23BA7">
              <w:rPr>
                <w:rStyle w:val="Hyperlink"/>
                <w:rFonts w:asciiTheme="majorHAnsi" w:hAnsiTheme="majorHAnsi"/>
                <w:noProof/>
                <w:spacing w:val="-6"/>
                <w:sz w:val="21"/>
                <w:szCs w:val="21"/>
              </w:rPr>
              <w:t>THE HEALTH AND SAFETY AT WORK ACT 2015</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_Toc177397964 \h </w:instrText>
            </w:r>
            <w:r w:rsidRPr="00F23BA7">
              <w:rPr>
                <w:noProof/>
                <w:webHidden/>
                <w:sz w:val="21"/>
                <w:szCs w:val="21"/>
              </w:rPr>
            </w:r>
            <w:r w:rsidRPr="00F23BA7">
              <w:rPr>
                <w:noProof/>
                <w:webHidden/>
                <w:sz w:val="21"/>
                <w:szCs w:val="21"/>
              </w:rPr>
              <w:fldChar w:fldCharType="separate"/>
            </w:r>
            <w:r w:rsidR="0083193F">
              <w:rPr>
                <w:noProof/>
                <w:webHidden/>
                <w:sz w:val="21"/>
                <w:szCs w:val="21"/>
              </w:rPr>
              <w:t>9</w:t>
            </w:r>
            <w:r w:rsidRPr="00F23BA7">
              <w:rPr>
                <w:noProof/>
                <w:webHidden/>
                <w:sz w:val="21"/>
                <w:szCs w:val="21"/>
              </w:rPr>
              <w:fldChar w:fldCharType="end"/>
            </w:r>
          </w:hyperlink>
        </w:p>
        <w:p w14:paraId="1CF5FA49" w14:textId="37C78FC5" w:rsidR="00F23BA7" w:rsidRPr="00F23BA7" w:rsidRDefault="00F23BA7">
          <w:pPr>
            <w:pStyle w:val="TOC2"/>
            <w:tabs>
              <w:tab w:val="right" w:leader="dot" w:pos="9350"/>
            </w:tabs>
            <w:rPr>
              <w:rFonts w:eastAsiaTheme="minorEastAsia"/>
              <w:b w:val="0"/>
              <w:bCs w:val="0"/>
              <w:noProof/>
              <w:sz w:val="21"/>
              <w:szCs w:val="21"/>
              <w:lang w:val="en-US"/>
            </w:rPr>
          </w:pPr>
          <w:hyperlink w:anchor="_Toc177397965" w:history="1">
            <w:r w:rsidRPr="00F23BA7">
              <w:rPr>
                <w:rStyle w:val="Hyperlink"/>
                <w:noProof/>
                <w:sz w:val="20"/>
                <w:szCs w:val="20"/>
              </w:rPr>
              <w:t>The Health and Safety at Work Act 2015 is essentially fit for purpose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_Toc177397965 \h </w:instrText>
            </w:r>
            <w:r w:rsidRPr="00F23BA7">
              <w:rPr>
                <w:noProof/>
                <w:webHidden/>
                <w:sz w:val="20"/>
                <w:szCs w:val="20"/>
              </w:rPr>
            </w:r>
            <w:r w:rsidRPr="00F23BA7">
              <w:rPr>
                <w:noProof/>
                <w:webHidden/>
                <w:sz w:val="20"/>
                <w:szCs w:val="20"/>
              </w:rPr>
              <w:fldChar w:fldCharType="separate"/>
            </w:r>
            <w:r w:rsidR="0083193F">
              <w:rPr>
                <w:noProof/>
                <w:webHidden/>
                <w:sz w:val="20"/>
                <w:szCs w:val="20"/>
              </w:rPr>
              <w:t>9</w:t>
            </w:r>
            <w:r w:rsidRPr="00F23BA7">
              <w:rPr>
                <w:noProof/>
                <w:webHidden/>
                <w:sz w:val="20"/>
                <w:szCs w:val="20"/>
              </w:rPr>
              <w:fldChar w:fldCharType="end"/>
            </w:r>
          </w:hyperlink>
        </w:p>
        <w:p w14:paraId="238F87AE" w14:textId="117BF862" w:rsidR="00F23BA7" w:rsidRPr="00F23BA7" w:rsidRDefault="00F23BA7">
          <w:pPr>
            <w:pStyle w:val="TOC2"/>
            <w:tabs>
              <w:tab w:val="right" w:leader="dot" w:pos="9350"/>
            </w:tabs>
            <w:rPr>
              <w:rFonts w:eastAsiaTheme="minorEastAsia"/>
              <w:b w:val="0"/>
              <w:bCs w:val="0"/>
              <w:noProof/>
              <w:sz w:val="21"/>
              <w:szCs w:val="21"/>
              <w:lang w:val="en-US"/>
            </w:rPr>
          </w:pPr>
          <w:hyperlink w:anchor="_Toc177397966" w:history="1">
            <w:r w:rsidRPr="00F23BA7">
              <w:rPr>
                <w:rStyle w:val="Hyperlink"/>
                <w:noProof/>
                <w:sz w:val="20"/>
                <w:szCs w:val="20"/>
              </w:rPr>
              <w:t>Requirements for competent advice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_Toc177397966 \h </w:instrText>
            </w:r>
            <w:r w:rsidRPr="00F23BA7">
              <w:rPr>
                <w:noProof/>
                <w:webHidden/>
                <w:sz w:val="20"/>
                <w:szCs w:val="20"/>
              </w:rPr>
            </w:r>
            <w:r w:rsidRPr="00F23BA7">
              <w:rPr>
                <w:noProof/>
                <w:webHidden/>
                <w:sz w:val="20"/>
                <w:szCs w:val="20"/>
              </w:rPr>
              <w:fldChar w:fldCharType="separate"/>
            </w:r>
            <w:r w:rsidR="0083193F">
              <w:rPr>
                <w:noProof/>
                <w:webHidden/>
                <w:sz w:val="20"/>
                <w:szCs w:val="20"/>
              </w:rPr>
              <w:t>10</w:t>
            </w:r>
            <w:r w:rsidRPr="00F23BA7">
              <w:rPr>
                <w:noProof/>
                <w:webHidden/>
                <w:sz w:val="20"/>
                <w:szCs w:val="20"/>
              </w:rPr>
              <w:fldChar w:fldCharType="end"/>
            </w:r>
          </w:hyperlink>
        </w:p>
        <w:p w14:paraId="5454EAC9" w14:textId="4EFFAA78" w:rsidR="00F23BA7" w:rsidRPr="00F23BA7" w:rsidRDefault="00F23BA7">
          <w:pPr>
            <w:pStyle w:val="TOC2"/>
            <w:tabs>
              <w:tab w:val="right" w:leader="dot" w:pos="9350"/>
            </w:tabs>
            <w:rPr>
              <w:rFonts w:eastAsiaTheme="minorEastAsia"/>
              <w:b w:val="0"/>
              <w:bCs w:val="0"/>
              <w:noProof/>
              <w:sz w:val="21"/>
              <w:szCs w:val="21"/>
              <w:lang w:val="en-US"/>
            </w:rPr>
          </w:pPr>
          <w:hyperlink w:anchor="_Toc177397967" w:history="1">
            <w:r w:rsidRPr="00F23BA7">
              <w:rPr>
                <w:rStyle w:val="Hyperlink"/>
                <w:noProof/>
                <w:sz w:val="20"/>
                <w:szCs w:val="20"/>
              </w:rPr>
              <w:t>Clarification of overlapping duties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_Toc177397967 \h </w:instrText>
            </w:r>
            <w:r w:rsidRPr="00F23BA7">
              <w:rPr>
                <w:noProof/>
                <w:webHidden/>
                <w:sz w:val="20"/>
                <w:szCs w:val="20"/>
              </w:rPr>
            </w:r>
            <w:r w:rsidRPr="00F23BA7">
              <w:rPr>
                <w:noProof/>
                <w:webHidden/>
                <w:sz w:val="20"/>
                <w:szCs w:val="20"/>
              </w:rPr>
              <w:fldChar w:fldCharType="separate"/>
            </w:r>
            <w:r w:rsidR="0083193F">
              <w:rPr>
                <w:noProof/>
                <w:webHidden/>
                <w:sz w:val="20"/>
                <w:szCs w:val="20"/>
              </w:rPr>
              <w:t>11</w:t>
            </w:r>
            <w:r w:rsidRPr="00F23BA7">
              <w:rPr>
                <w:noProof/>
                <w:webHidden/>
                <w:sz w:val="20"/>
                <w:szCs w:val="20"/>
              </w:rPr>
              <w:fldChar w:fldCharType="end"/>
            </w:r>
          </w:hyperlink>
        </w:p>
        <w:p w14:paraId="58C01349" w14:textId="271344A7" w:rsidR="00F23BA7" w:rsidRPr="00F23BA7" w:rsidRDefault="00F23BA7">
          <w:pPr>
            <w:pStyle w:val="TOC2"/>
            <w:tabs>
              <w:tab w:val="right" w:leader="dot" w:pos="9350"/>
            </w:tabs>
            <w:rPr>
              <w:rFonts w:eastAsiaTheme="minorEastAsia"/>
              <w:b w:val="0"/>
              <w:bCs w:val="0"/>
              <w:noProof/>
              <w:sz w:val="21"/>
              <w:szCs w:val="21"/>
              <w:lang w:val="en-US"/>
            </w:rPr>
          </w:pPr>
          <w:hyperlink w:anchor="_Toc177397968" w:history="1">
            <w:r w:rsidRPr="00F23BA7">
              <w:rPr>
                <w:rStyle w:val="Hyperlink"/>
                <w:noProof/>
                <w:sz w:val="20"/>
                <w:szCs w:val="20"/>
              </w:rPr>
              <w:t>Fines and penalties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_Toc177397968 \h </w:instrText>
            </w:r>
            <w:r w:rsidRPr="00F23BA7">
              <w:rPr>
                <w:noProof/>
                <w:webHidden/>
                <w:sz w:val="20"/>
                <w:szCs w:val="20"/>
              </w:rPr>
            </w:r>
            <w:r w:rsidRPr="00F23BA7">
              <w:rPr>
                <w:noProof/>
                <w:webHidden/>
                <w:sz w:val="20"/>
                <w:szCs w:val="20"/>
              </w:rPr>
              <w:fldChar w:fldCharType="separate"/>
            </w:r>
            <w:r w:rsidR="0083193F">
              <w:rPr>
                <w:noProof/>
                <w:webHidden/>
                <w:sz w:val="20"/>
                <w:szCs w:val="20"/>
              </w:rPr>
              <w:t>12</w:t>
            </w:r>
            <w:r w:rsidRPr="00F23BA7">
              <w:rPr>
                <w:noProof/>
                <w:webHidden/>
                <w:sz w:val="20"/>
                <w:szCs w:val="20"/>
              </w:rPr>
              <w:fldChar w:fldCharType="end"/>
            </w:r>
          </w:hyperlink>
        </w:p>
        <w:p w14:paraId="5BB0B16F" w14:textId="36FBF8FE" w:rsidR="00F23BA7" w:rsidRPr="00F23BA7" w:rsidRDefault="00F23BA7">
          <w:pPr>
            <w:pStyle w:val="TOC2"/>
            <w:tabs>
              <w:tab w:val="right" w:leader="dot" w:pos="9350"/>
            </w:tabs>
            <w:rPr>
              <w:rFonts w:eastAsiaTheme="minorEastAsia"/>
              <w:b w:val="0"/>
              <w:bCs w:val="0"/>
              <w:noProof/>
              <w:sz w:val="21"/>
              <w:szCs w:val="21"/>
              <w:lang w:val="en-US"/>
            </w:rPr>
          </w:pPr>
          <w:hyperlink w:anchor="_Toc177397969" w:history="1">
            <w:r w:rsidRPr="00F23BA7">
              <w:rPr>
                <w:rStyle w:val="Hyperlink"/>
                <w:noProof/>
                <w:sz w:val="20"/>
                <w:szCs w:val="20"/>
              </w:rPr>
              <w:t>Recklessness conduct</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_Toc177397969 \h </w:instrText>
            </w:r>
            <w:r w:rsidRPr="00F23BA7">
              <w:rPr>
                <w:noProof/>
                <w:webHidden/>
                <w:sz w:val="20"/>
                <w:szCs w:val="20"/>
              </w:rPr>
            </w:r>
            <w:r w:rsidRPr="00F23BA7">
              <w:rPr>
                <w:noProof/>
                <w:webHidden/>
                <w:sz w:val="20"/>
                <w:szCs w:val="20"/>
              </w:rPr>
              <w:fldChar w:fldCharType="separate"/>
            </w:r>
            <w:r w:rsidR="0083193F">
              <w:rPr>
                <w:noProof/>
                <w:webHidden/>
                <w:sz w:val="20"/>
                <w:szCs w:val="20"/>
              </w:rPr>
              <w:t>13</w:t>
            </w:r>
            <w:r w:rsidRPr="00F23BA7">
              <w:rPr>
                <w:noProof/>
                <w:webHidden/>
                <w:sz w:val="20"/>
                <w:szCs w:val="20"/>
              </w:rPr>
              <w:fldChar w:fldCharType="end"/>
            </w:r>
          </w:hyperlink>
        </w:p>
        <w:p w14:paraId="2493C7F7" w14:textId="41239348"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70" w:history="1">
            <w:r w:rsidRPr="00F23BA7">
              <w:rPr>
                <w:rStyle w:val="Hyperlink"/>
                <w:rFonts w:asciiTheme="majorHAnsi" w:hAnsiTheme="majorHAnsi"/>
                <w:noProof/>
                <w:spacing w:val="-6"/>
                <w:sz w:val="21"/>
                <w:szCs w:val="21"/>
              </w:rPr>
              <w:t>REGULATIONS</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_Toc177397970 \h </w:instrText>
            </w:r>
            <w:r w:rsidRPr="00F23BA7">
              <w:rPr>
                <w:noProof/>
                <w:webHidden/>
                <w:sz w:val="21"/>
                <w:szCs w:val="21"/>
              </w:rPr>
            </w:r>
            <w:r w:rsidRPr="00F23BA7">
              <w:rPr>
                <w:noProof/>
                <w:webHidden/>
                <w:sz w:val="21"/>
                <w:szCs w:val="21"/>
              </w:rPr>
              <w:fldChar w:fldCharType="separate"/>
            </w:r>
            <w:r w:rsidR="0083193F">
              <w:rPr>
                <w:noProof/>
                <w:webHidden/>
                <w:sz w:val="21"/>
                <w:szCs w:val="21"/>
              </w:rPr>
              <w:t>15</w:t>
            </w:r>
            <w:r w:rsidRPr="00F23BA7">
              <w:rPr>
                <w:noProof/>
                <w:webHidden/>
                <w:sz w:val="21"/>
                <w:szCs w:val="21"/>
              </w:rPr>
              <w:fldChar w:fldCharType="end"/>
            </w:r>
          </w:hyperlink>
        </w:p>
        <w:p w14:paraId="546B23FF" w14:textId="0AFAA41B" w:rsidR="00F23BA7" w:rsidRPr="00F23BA7" w:rsidRDefault="00F23BA7">
          <w:pPr>
            <w:pStyle w:val="TOC2"/>
            <w:tabs>
              <w:tab w:val="right" w:leader="dot" w:pos="9350"/>
            </w:tabs>
            <w:rPr>
              <w:rFonts w:eastAsiaTheme="minorEastAsia"/>
              <w:b w:val="0"/>
              <w:bCs w:val="0"/>
              <w:noProof/>
              <w:sz w:val="21"/>
              <w:szCs w:val="21"/>
              <w:lang w:val="en-US"/>
            </w:rPr>
          </w:pPr>
          <w:hyperlink w:anchor="_Toc177397971" w:history="1">
            <w:r w:rsidRPr="00F23BA7">
              <w:rPr>
                <w:rStyle w:val="Hyperlink"/>
                <w:noProof/>
                <w:sz w:val="20"/>
                <w:szCs w:val="20"/>
              </w:rPr>
              <w:t>Progress on regulations under the Health and Safety at Work Act 2015 has stalled</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_Toc177397971 \h </w:instrText>
            </w:r>
            <w:r w:rsidRPr="00F23BA7">
              <w:rPr>
                <w:noProof/>
                <w:webHidden/>
                <w:sz w:val="20"/>
                <w:szCs w:val="20"/>
              </w:rPr>
            </w:r>
            <w:r w:rsidRPr="00F23BA7">
              <w:rPr>
                <w:noProof/>
                <w:webHidden/>
                <w:sz w:val="20"/>
                <w:szCs w:val="20"/>
              </w:rPr>
              <w:fldChar w:fldCharType="separate"/>
            </w:r>
            <w:r w:rsidR="0083193F">
              <w:rPr>
                <w:noProof/>
                <w:webHidden/>
                <w:sz w:val="20"/>
                <w:szCs w:val="20"/>
              </w:rPr>
              <w:t>15</w:t>
            </w:r>
            <w:r w:rsidRPr="00F23BA7">
              <w:rPr>
                <w:noProof/>
                <w:webHidden/>
                <w:sz w:val="20"/>
                <w:szCs w:val="20"/>
              </w:rPr>
              <w:fldChar w:fldCharType="end"/>
            </w:r>
          </w:hyperlink>
        </w:p>
        <w:p w14:paraId="2D50E29A" w14:textId="716EB450" w:rsidR="00F23BA7" w:rsidRPr="00F23BA7" w:rsidRDefault="00F23BA7">
          <w:pPr>
            <w:pStyle w:val="TOC2"/>
            <w:tabs>
              <w:tab w:val="right" w:leader="dot" w:pos="9350"/>
            </w:tabs>
            <w:rPr>
              <w:rFonts w:eastAsiaTheme="minorEastAsia"/>
              <w:b w:val="0"/>
              <w:bCs w:val="0"/>
              <w:noProof/>
              <w:sz w:val="21"/>
              <w:szCs w:val="21"/>
              <w:lang w:val="en-US"/>
            </w:rPr>
          </w:pPr>
          <w:hyperlink w:anchor="_Toc177397972" w:history="1">
            <w:r w:rsidRPr="00F23BA7">
              <w:rPr>
                <w:rStyle w:val="Hyperlink"/>
                <w:noProof/>
                <w:sz w:val="20"/>
                <w:szCs w:val="20"/>
              </w:rPr>
              <w:t>Regulatory inertia is hurting our ability to deal with new risks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_Toc177397972 \h </w:instrText>
            </w:r>
            <w:r w:rsidRPr="00F23BA7">
              <w:rPr>
                <w:noProof/>
                <w:webHidden/>
                <w:sz w:val="20"/>
                <w:szCs w:val="20"/>
              </w:rPr>
            </w:r>
            <w:r w:rsidRPr="00F23BA7">
              <w:rPr>
                <w:noProof/>
                <w:webHidden/>
                <w:sz w:val="20"/>
                <w:szCs w:val="20"/>
              </w:rPr>
              <w:fldChar w:fldCharType="separate"/>
            </w:r>
            <w:r w:rsidR="0083193F">
              <w:rPr>
                <w:noProof/>
                <w:webHidden/>
                <w:sz w:val="20"/>
                <w:szCs w:val="20"/>
              </w:rPr>
              <w:t>16</w:t>
            </w:r>
            <w:r w:rsidRPr="00F23BA7">
              <w:rPr>
                <w:noProof/>
                <w:webHidden/>
                <w:sz w:val="20"/>
                <w:szCs w:val="20"/>
              </w:rPr>
              <w:fldChar w:fldCharType="end"/>
            </w:r>
          </w:hyperlink>
        </w:p>
        <w:p w14:paraId="1311F62E" w14:textId="3B15F2AA"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73" w:history="1">
            <w:r w:rsidRPr="00F23BA7">
              <w:rPr>
                <w:rStyle w:val="Hyperlink"/>
                <w:rFonts w:asciiTheme="majorHAnsi" w:hAnsiTheme="majorHAnsi"/>
                <w:noProof/>
                <w:spacing w:val="-6"/>
                <w:sz w:val="21"/>
                <w:szCs w:val="21"/>
              </w:rPr>
              <w:t>GUIDANCE</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_Toc177397973 \h </w:instrText>
            </w:r>
            <w:r w:rsidRPr="00F23BA7">
              <w:rPr>
                <w:noProof/>
                <w:webHidden/>
                <w:sz w:val="21"/>
                <w:szCs w:val="21"/>
              </w:rPr>
            </w:r>
            <w:r w:rsidRPr="00F23BA7">
              <w:rPr>
                <w:noProof/>
                <w:webHidden/>
                <w:sz w:val="21"/>
                <w:szCs w:val="21"/>
              </w:rPr>
              <w:fldChar w:fldCharType="separate"/>
            </w:r>
            <w:r w:rsidR="0083193F">
              <w:rPr>
                <w:noProof/>
                <w:webHidden/>
                <w:sz w:val="21"/>
                <w:szCs w:val="21"/>
              </w:rPr>
              <w:t>18</w:t>
            </w:r>
            <w:r w:rsidRPr="00F23BA7">
              <w:rPr>
                <w:noProof/>
                <w:webHidden/>
                <w:sz w:val="21"/>
                <w:szCs w:val="21"/>
              </w:rPr>
              <w:fldChar w:fldCharType="end"/>
            </w:r>
          </w:hyperlink>
        </w:p>
        <w:p w14:paraId="331DFA16" w14:textId="4C9A9B86" w:rsidR="00F23BA7" w:rsidRPr="00F23BA7" w:rsidRDefault="00F23BA7">
          <w:pPr>
            <w:pStyle w:val="TOC2"/>
            <w:tabs>
              <w:tab w:val="right" w:leader="dot" w:pos="9350"/>
            </w:tabs>
            <w:rPr>
              <w:rFonts w:eastAsiaTheme="minorEastAsia"/>
              <w:b w:val="0"/>
              <w:bCs w:val="0"/>
              <w:noProof/>
              <w:sz w:val="21"/>
              <w:szCs w:val="21"/>
              <w:lang w:val="en-US"/>
            </w:rPr>
          </w:pPr>
          <w:hyperlink w:anchor="_Toc177397974" w:history="1">
            <w:r w:rsidRPr="00F23BA7">
              <w:rPr>
                <w:rStyle w:val="Hyperlink"/>
                <w:noProof/>
                <w:sz w:val="20"/>
                <w:szCs w:val="20"/>
              </w:rPr>
              <w:t>The importance of guidance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_Toc177397974 \h </w:instrText>
            </w:r>
            <w:r w:rsidRPr="00F23BA7">
              <w:rPr>
                <w:noProof/>
                <w:webHidden/>
                <w:sz w:val="20"/>
                <w:szCs w:val="20"/>
              </w:rPr>
            </w:r>
            <w:r w:rsidRPr="00F23BA7">
              <w:rPr>
                <w:noProof/>
                <w:webHidden/>
                <w:sz w:val="20"/>
                <w:szCs w:val="20"/>
              </w:rPr>
              <w:fldChar w:fldCharType="separate"/>
            </w:r>
            <w:r w:rsidR="0083193F">
              <w:rPr>
                <w:noProof/>
                <w:webHidden/>
                <w:sz w:val="20"/>
                <w:szCs w:val="20"/>
              </w:rPr>
              <w:t>18</w:t>
            </w:r>
            <w:r w:rsidRPr="00F23BA7">
              <w:rPr>
                <w:noProof/>
                <w:webHidden/>
                <w:sz w:val="20"/>
                <w:szCs w:val="20"/>
              </w:rPr>
              <w:fldChar w:fldCharType="end"/>
            </w:r>
          </w:hyperlink>
        </w:p>
        <w:p w14:paraId="200FDA63" w14:textId="48354960" w:rsidR="00F23BA7" w:rsidRPr="00F23BA7" w:rsidRDefault="00F23BA7">
          <w:pPr>
            <w:pStyle w:val="TOC2"/>
            <w:tabs>
              <w:tab w:val="right" w:leader="dot" w:pos="9350"/>
            </w:tabs>
            <w:rPr>
              <w:rFonts w:eastAsiaTheme="minorEastAsia"/>
              <w:b w:val="0"/>
              <w:bCs w:val="0"/>
              <w:noProof/>
              <w:sz w:val="21"/>
              <w:szCs w:val="21"/>
              <w:lang w:val="en-US"/>
            </w:rPr>
          </w:pPr>
          <w:hyperlink w:anchor="_Toc177397975" w:history="1">
            <w:r w:rsidRPr="00F23BA7">
              <w:rPr>
                <w:rStyle w:val="Hyperlink"/>
                <w:noProof/>
                <w:sz w:val="20"/>
                <w:szCs w:val="20"/>
              </w:rPr>
              <w:t>The current state of WorkSafe’s guidance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_Toc177397975 \h </w:instrText>
            </w:r>
            <w:r w:rsidRPr="00F23BA7">
              <w:rPr>
                <w:noProof/>
                <w:webHidden/>
                <w:sz w:val="20"/>
                <w:szCs w:val="20"/>
              </w:rPr>
            </w:r>
            <w:r w:rsidRPr="00F23BA7">
              <w:rPr>
                <w:noProof/>
                <w:webHidden/>
                <w:sz w:val="20"/>
                <w:szCs w:val="20"/>
              </w:rPr>
              <w:fldChar w:fldCharType="separate"/>
            </w:r>
            <w:r w:rsidR="0083193F">
              <w:rPr>
                <w:noProof/>
                <w:webHidden/>
                <w:sz w:val="20"/>
                <w:szCs w:val="20"/>
              </w:rPr>
              <w:t>18</w:t>
            </w:r>
            <w:r w:rsidRPr="00F23BA7">
              <w:rPr>
                <w:noProof/>
                <w:webHidden/>
                <w:sz w:val="20"/>
                <w:szCs w:val="20"/>
              </w:rPr>
              <w:fldChar w:fldCharType="end"/>
            </w:r>
          </w:hyperlink>
        </w:p>
        <w:p w14:paraId="1B39CAE1" w14:textId="00796698" w:rsidR="00F23BA7" w:rsidRPr="00F23BA7" w:rsidRDefault="00F23BA7">
          <w:pPr>
            <w:pStyle w:val="TOC2"/>
            <w:tabs>
              <w:tab w:val="right" w:leader="dot" w:pos="9350"/>
            </w:tabs>
            <w:rPr>
              <w:rFonts w:eastAsiaTheme="minorEastAsia"/>
              <w:b w:val="0"/>
              <w:bCs w:val="0"/>
              <w:noProof/>
              <w:sz w:val="21"/>
              <w:szCs w:val="21"/>
              <w:lang w:val="en-US"/>
            </w:rPr>
          </w:pPr>
          <w:hyperlink w:anchor="_Toc177397976" w:history="1">
            <w:r w:rsidRPr="00F23BA7">
              <w:rPr>
                <w:rStyle w:val="Hyperlink"/>
                <w:noProof/>
                <w:sz w:val="20"/>
                <w:szCs w:val="20"/>
              </w:rPr>
              <w:t>Endorsement of industry-developed guidance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_Toc177397976 \h </w:instrText>
            </w:r>
            <w:r w:rsidRPr="00F23BA7">
              <w:rPr>
                <w:noProof/>
                <w:webHidden/>
                <w:sz w:val="20"/>
                <w:szCs w:val="20"/>
              </w:rPr>
            </w:r>
            <w:r w:rsidRPr="00F23BA7">
              <w:rPr>
                <w:noProof/>
                <w:webHidden/>
                <w:sz w:val="20"/>
                <w:szCs w:val="20"/>
              </w:rPr>
              <w:fldChar w:fldCharType="separate"/>
            </w:r>
            <w:r w:rsidR="0083193F">
              <w:rPr>
                <w:noProof/>
                <w:webHidden/>
                <w:sz w:val="20"/>
                <w:szCs w:val="20"/>
              </w:rPr>
              <w:t>19</w:t>
            </w:r>
            <w:r w:rsidRPr="00F23BA7">
              <w:rPr>
                <w:noProof/>
                <w:webHidden/>
                <w:sz w:val="20"/>
                <w:szCs w:val="20"/>
              </w:rPr>
              <w:fldChar w:fldCharType="end"/>
            </w:r>
          </w:hyperlink>
        </w:p>
        <w:p w14:paraId="1328D516" w14:textId="543ECC6A" w:rsidR="00F23BA7" w:rsidRPr="00F23BA7" w:rsidRDefault="00F23BA7">
          <w:pPr>
            <w:pStyle w:val="TOC2"/>
            <w:tabs>
              <w:tab w:val="right" w:leader="dot" w:pos="9350"/>
            </w:tabs>
            <w:rPr>
              <w:rFonts w:eastAsiaTheme="minorEastAsia"/>
              <w:b w:val="0"/>
              <w:bCs w:val="0"/>
              <w:noProof/>
              <w:sz w:val="21"/>
              <w:szCs w:val="21"/>
              <w:lang w:val="en-US"/>
            </w:rPr>
          </w:pPr>
          <w:hyperlink w:anchor="_Toc177397977" w:history="1">
            <w:r w:rsidRPr="00F23BA7">
              <w:rPr>
                <w:rStyle w:val="Hyperlink"/>
                <w:noProof/>
                <w:sz w:val="20"/>
                <w:szCs w:val="20"/>
              </w:rPr>
              <w:t>Adoption of international best-practice guidance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_Toc177397977 \h </w:instrText>
            </w:r>
            <w:r w:rsidRPr="00F23BA7">
              <w:rPr>
                <w:noProof/>
                <w:webHidden/>
                <w:sz w:val="20"/>
                <w:szCs w:val="20"/>
              </w:rPr>
            </w:r>
            <w:r w:rsidRPr="00F23BA7">
              <w:rPr>
                <w:noProof/>
                <w:webHidden/>
                <w:sz w:val="20"/>
                <w:szCs w:val="20"/>
              </w:rPr>
              <w:fldChar w:fldCharType="separate"/>
            </w:r>
            <w:r w:rsidR="0083193F">
              <w:rPr>
                <w:noProof/>
                <w:webHidden/>
                <w:sz w:val="20"/>
                <w:szCs w:val="20"/>
              </w:rPr>
              <w:t>19</w:t>
            </w:r>
            <w:r w:rsidRPr="00F23BA7">
              <w:rPr>
                <w:noProof/>
                <w:webHidden/>
                <w:sz w:val="20"/>
                <w:szCs w:val="20"/>
              </w:rPr>
              <w:fldChar w:fldCharType="end"/>
            </w:r>
          </w:hyperlink>
        </w:p>
        <w:p w14:paraId="20835B13" w14:textId="704B09C2"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78" w:history="1">
            <w:r w:rsidRPr="00F23BA7">
              <w:rPr>
                <w:rStyle w:val="Hyperlink"/>
                <w:rFonts w:asciiTheme="majorHAnsi" w:hAnsiTheme="majorHAnsi"/>
                <w:noProof/>
                <w:spacing w:val="-6"/>
                <w:sz w:val="21"/>
                <w:szCs w:val="21"/>
              </w:rPr>
              <w:t>THE HEALTH AND SAFETY REGULATORS</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_Toc177397978 \h </w:instrText>
            </w:r>
            <w:r w:rsidRPr="00F23BA7">
              <w:rPr>
                <w:noProof/>
                <w:webHidden/>
                <w:sz w:val="21"/>
                <w:szCs w:val="21"/>
              </w:rPr>
            </w:r>
            <w:r w:rsidRPr="00F23BA7">
              <w:rPr>
                <w:noProof/>
                <w:webHidden/>
                <w:sz w:val="21"/>
                <w:szCs w:val="21"/>
              </w:rPr>
              <w:fldChar w:fldCharType="separate"/>
            </w:r>
            <w:r w:rsidR="0083193F">
              <w:rPr>
                <w:noProof/>
                <w:webHidden/>
                <w:sz w:val="21"/>
                <w:szCs w:val="21"/>
              </w:rPr>
              <w:t>20</w:t>
            </w:r>
            <w:r w:rsidRPr="00F23BA7">
              <w:rPr>
                <w:noProof/>
                <w:webHidden/>
                <w:sz w:val="21"/>
                <w:szCs w:val="21"/>
              </w:rPr>
              <w:fldChar w:fldCharType="end"/>
            </w:r>
          </w:hyperlink>
        </w:p>
        <w:p w14:paraId="6A49B693" w14:textId="7CDBE049" w:rsidR="00F23BA7" w:rsidRPr="00F23BA7" w:rsidRDefault="00F23BA7">
          <w:pPr>
            <w:pStyle w:val="TOC2"/>
            <w:tabs>
              <w:tab w:val="right" w:leader="dot" w:pos="9350"/>
            </w:tabs>
            <w:rPr>
              <w:rFonts w:eastAsiaTheme="minorEastAsia"/>
              <w:b w:val="0"/>
              <w:bCs w:val="0"/>
              <w:noProof/>
              <w:sz w:val="21"/>
              <w:szCs w:val="21"/>
              <w:lang w:val="en-US"/>
            </w:rPr>
          </w:pPr>
          <w:hyperlink w:anchor="_Toc177397979" w:history="1">
            <w:r w:rsidRPr="00F23BA7">
              <w:rPr>
                <w:rStyle w:val="Hyperlink"/>
                <w:noProof/>
                <w:sz w:val="20"/>
                <w:szCs w:val="20"/>
              </w:rPr>
              <w:t>Scope of the role of regulators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_Toc177397979 \h </w:instrText>
            </w:r>
            <w:r w:rsidRPr="00F23BA7">
              <w:rPr>
                <w:noProof/>
                <w:webHidden/>
                <w:sz w:val="20"/>
                <w:szCs w:val="20"/>
              </w:rPr>
            </w:r>
            <w:r w:rsidRPr="00F23BA7">
              <w:rPr>
                <w:noProof/>
                <w:webHidden/>
                <w:sz w:val="20"/>
                <w:szCs w:val="20"/>
              </w:rPr>
              <w:fldChar w:fldCharType="separate"/>
            </w:r>
            <w:r w:rsidR="0083193F">
              <w:rPr>
                <w:noProof/>
                <w:webHidden/>
                <w:sz w:val="20"/>
                <w:szCs w:val="20"/>
              </w:rPr>
              <w:t>20</w:t>
            </w:r>
            <w:r w:rsidRPr="00F23BA7">
              <w:rPr>
                <w:noProof/>
                <w:webHidden/>
                <w:sz w:val="20"/>
                <w:szCs w:val="20"/>
              </w:rPr>
              <w:fldChar w:fldCharType="end"/>
            </w:r>
          </w:hyperlink>
        </w:p>
        <w:p w14:paraId="28EE1AF7" w14:textId="7DA2F932" w:rsidR="00F23BA7" w:rsidRPr="00F23BA7" w:rsidRDefault="00F23BA7">
          <w:pPr>
            <w:pStyle w:val="TOC2"/>
            <w:tabs>
              <w:tab w:val="right" w:leader="dot" w:pos="9350"/>
            </w:tabs>
            <w:rPr>
              <w:rFonts w:eastAsiaTheme="minorEastAsia"/>
              <w:b w:val="0"/>
              <w:bCs w:val="0"/>
              <w:noProof/>
              <w:sz w:val="21"/>
              <w:szCs w:val="21"/>
              <w:lang w:val="en-US"/>
            </w:rPr>
          </w:pPr>
          <w:hyperlink w:anchor="_Toc177397980" w:history="1">
            <w:r w:rsidRPr="00F23BA7">
              <w:rPr>
                <w:rStyle w:val="Hyperlink"/>
                <w:noProof/>
                <w:sz w:val="20"/>
                <w:szCs w:val="20"/>
              </w:rPr>
              <w:t>WorkSafe's strategy, mindset and perspective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_Toc177397980 \h </w:instrText>
            </w:r>
            <w:r w:rsidRPr="00F23BA7">
              <w:rPr>
                <w:noProof/>
                <w:webHidden/>
                <w:sz w:val="20"/>
                <w:szCs w:val="20"/>
              </w:rPr>
            </w:r>
            <w:r w:rsidRPr="00F23BA7">
              <w:rPr>
                <w:noProof/>
                <w:webHidden/>
                <w:sz w:val="20"/>
                <w:szCs w:val="20"/>
              </w:rPr>
              <w:fldChar w:fldCharType="separate"/>
            </w:r>
            <w:r w:rsidR="0083193F">
              <w:rPr>
                <w:noProof/>
                <w:webHidden/>
                <w:sz w:val="20"/>
                <w:szCs w:val="20"/>
              </w:rPr>
              <w:t>22</w:t>
            </w:r>
            <w:r w:rsidRPr="00F23BA7">
              <w:rPr>
                <w:noProof/>
                <w:webHidden/>
                <w:sz w:val="20"/>
                <w:szCs w:val="20"/>
              </w:rPr>
              <w:fldChar w:fldCharType="end"/>
            </w:r>
          </w:hyperlink>
        </w:p>
        <w:p w14:paraId="518D4F58" w14:textId="37B26A00" w:rsidR="00F23BA7" w:rsidRPr="00F23BA7" w:rsidRDefault="00F23BA7">
          <w:pPr>
            <w:pStyle w:val="TOC2"/>
            <w:tabs>
              <w:tab w:val="right" w:leader="dot" w:pos="9350"/>
            </w:tabs>
            <w:rPr>
              <w:rFonts w:eastAsiaTheme="minorEastAsia"/>
              <w:b w:val="0"/>
              <w:bCs w:val="0"/>
              <w:noProof/>
              <w:sz w:val="21"/>
              <w:szCs w:val="21"/>
              <w:lang w:val="en-US"/>
            </w:rPr>
          </w:pPr>
          <w:hyperlink w:anchor="_Toc177397981" w:history="1">
            <w:r w:rsidRPr="00F23BA7">
              <w:rPr>
                <w:rStyle w:val="Hyperlink"/>
                <w:noProof/>
                <w:sz w:val="20"/>
                <w:szCs w:val="20"/>
              </w:rPr>
              <w:t>The need for an intelligent regulator supported by highly skilled people</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_Toc177397981 \h </w:instrText>
            </w:r>
            <w:r w:rsidRPr="00F23BA7">
              <w:rPr>
                <w:noProof/>
                <w:webHidden/>
                <w:sz w:val="20"/>
                <w:szCs w:val="20"/>
              </w:rPr>
            </w:r>
            <w:r w:rsidRPr="00F23BA7">
              <w:rPr>
                <w:noProof/>
                <w:webHidden/>
                <w:sz w:val="20"/>
                <w:szCs w:val="20"/>
              </w:rPr>
              <w:fldChar w:fldCharType="separate"/>
            </w:r>
            <w:r w:rsidR="0083193F">
              <w:rPr>
                <w:noProof/>
                <w:webHidden/>
                <w:sz w:val="20"/>
                <w:szCs w:val="20"/>
              </w:rPr>
              <w:t>23</w:t>
            </w:r>
            <w:r w:rsidRPr="00F23BA7">
              <w:rPr>
                <w:noProof/>
                <w:webHidden/>
                <w:sz w:val="20"/>
                <w:szCs w:val="20"/>
              </w:rPr>
              <w:fldChar w:fldCharType="end"/>
            </w:r>
          </w:hyperlink>
        </w:p>
        <w:p w14:paraId="3529C61A" w14:textId="5F45A5B5" w:rsidR="00F23BA7" w:rsidRPr="00F23BA7" w:rsidRDefault="00F23BA7">
          <w:pPr>
            <w:pStyle w:val="TOC2"/>
            <w:tabs>
              <w:tab w:val="right" w:leader="dot" w:pos="9350"/>
            </w:tabs>
            <w:rPr>
              <w:rFonts w:eastAsiaTheme="minorEastAsia"/>
              <w:b w:val="0"/>
              <w:bCs w:val="0"/>
              <w:noProof/>
              <w:sz w:val="21"/>
              <w:szCs w:val="21"/>
              <w:lang w:val="en-US"/>
            </w:rPr>
          </w:pPr>
          <w:hyperlink w:anchor="_Toc177397982" w:history="1">
            <w:r w:rsidRPr="00F23BA7">
              <w:rPr>
                <w:rStyle w:val="Hyperlink"/>
                <w:noProof/>
                <w:sz w:val="20"/>
                <w:szCs w:val="20"/>
              </w:rPr>
              <w:t>Sector engagement</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_Toc177397982 \h </w:instrText>
            </w:r>
            <w:r w:rsidRPr="00F23BA7">
              <w:rPr>
                <w:noProof/>
                <w:webHidden/>
                <w:sz w:val="20"/>
                <w:szCs w:val="20"/>
              </w:rPr>
            </w:r>
            <w:r w:rsidRPr="00F23BA7">
              <w:rPr>
                <w:noProof/>
                <w:webHidden/>
                <w:sz w:val="20"/>
                <w:szCs w:val="20"/>
              </w:rPr>
              <w:fldChar w:fldCharType="separate"/>
            </w:r>
            <w:r w:rsidR="0083193F">
              <w:rPr>
                <w:noProof/>
                <w:webHidden/>
                <w:sz w:val="20"/>
                <w:szCs w:val="20"/>
              </w:rPr>
              <w:t>25</w:t>
            </w:r>
            <w:r w:rsidRPr="00F23BA7">
              <w:rPr>
                <w:noProof/>
                <w:webHidden/>
                <w:sz w:val="20"/>
                <w:szCs w:val="20"/>
              </w:rPr>
              <w:fldChar w:fldCharType="end"/>
            </w:r>
          </w:hyperlink>
        </w:p>
        <w:p w14:paraId="1EA192D6" w14:textId="3F51AA86" w:rsidR="00F23BA7" w:rsidRPr="00F23BA7" w:rsidRDefault="00F23BA7">
          <w:pPr>
            <w:pStyle w:val="TOC2"/>
            <w:tabs>
              <w:tab w:val="right" w:leader="dot" w:pos="9350"/>
            </w:tabs>
            <w:rPr>
              <w:rFonts w:eastAsiaTheme="minorEastAsia"/>
              <w:b w:val="0"/>
              <w:bCs w:val="0"/>
              <w:noProof/>
              <w:sz w:val="21"/>
              <w:szCs w:val="21"/>
              <w:lang w:val="en-US"/>
            </w:rPr>
          </w:pPr>
          <w:hyperlink w:anchor="_Toc177397983" w:history="1">
            <w:r w:rsidRPr="00F23BA7">
              <w:rPr>
                <w:rStyle w:val="Hyperlink"/>
                <w:noProof/>
                <w:sz w:val="20"/>
                <w:szCs w:val="20"/>
              </w:rPr>
              <w:t>Cross-cutting risks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_Toc177397983 \h </w:instrText>
            </w:r>
            <w:r w:rsidRPr="00F23BA7">
              <w:rPr>
                <w:noProof/>
                <w:webHidden/>
                <w:sz w:val="20"/>
                <w:szCs w:val="20"/>
              </w:rPr>
            </w:r>
            <w:r w:rsidRPr="00F23BA7">
              <w:rPr>
                <w:noProof/>
                <w:webHidden/>
                <w:sz w:val="20"/>
                <w:szCs w:val="20"/>
              </w:rPr>
              <w:fldChar w:fldCharType="separate"/>
            </w:r>
            <w:r w:rsidR="0083193F">
              <w:rPr>
                <w:noProof/>
                <w:webHidden/>
                <w:sz w:val="20"/>
                <w:szCs w:val="20"/>
              </w:rPr>
              <w:t>26</w:t>
            </w:r>
            <w:r w:rsidRPr="00F23BA7">
              <w:rPr>
                <w:noProof/>
                <w:webHidden/>
                <w:sz w:val="20"/>
                <w:szCs w:val="20"/>
              </w:rPr>
              <w:fldChar w:fldCharType="end"/>
            </w:r>
          </w:hyperlink>
        </w:p>
        <w:p w14:paraId="378AE8D8" w14:textId="2FF7BC68" w:rsidR="00F23BA7" w:rsidRPr="00F23BA7" w:rsidRDefault="00F23BA7">
          <w:pPr>
            <w:pStyle w:val="TOC2"/>
            <w:tabs>
              <w:tab w:val="right" w:leader="dot" w:pos="9350"/>
            </w:tabs>
            <w:rPr>
              <w:rFonts w:eastAsiaTheme="minorEastAsia"/>
              <w:b w:val="0"/>
              <w:bCs w:val="0"/>
              <w:noProof/>
              <w:sz w:val="21"/>
              <w:szCs w:val="21"/>
              <w:lang w:val="en-US"/>
            </w:rPr>
          </w:pPr>
          <w:hyperlink w:anchor="_Toc177397984" w:history="1">
            <w:r w:rsidRPr="00F23BA7">
              <w:rPr>
                <w:rStyle w:val="Hyperlink"/>
                <w:noProof/>
                <w:sz w:val="20"/>
                <w:szCs w:val="20"/>
              </w:rPr>
              <w:t>Targeting System funding</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_Toc177397984 \h </w:instrText>
            </w:r>
            <w:r w:rsidRPr="00F23BA7">
              <w:rPr>
                <w:noProof/>
                <w:webHidden/>
                <w:sz w:val="20"/>
                <w:szCs w:val="20"/>
              </w:rPr>
            </w:r>
            <w:r w:rsidRPr="00F23BA7">
              <w:rPr>
                <w:noProof/>
                <w:webHidden/>
                <w:sz w:val="20"/>
                <w:szCs w:val="20"/>
              </w:rPr>
              <w:fldChar w:fldCharType="separate"/>
            </w:r>
            <w:r w:rsidR="0083193F">
              <w:rPr>
                <w:noProof/>
                <w:webHidden/>
                <w:sz w:val="20"/>
                <w:szCs w:val="20"/>
              </w:rPr>
              <w:t>27</w:t>
            </w:r>
            <w:r w:rsidRPr="00F23BA7">
              <w:rPr>
                <w:noProof/>
                <w:webHidden/>
                <w:sz w:val="20"/>
                <w:szCs w:val="20"/>
              </w:rPr>
              <w:fldChar w:fldCharType="end"/>
            </w:r>
          </w:hyperlink>
        </w:p>
        <w:p w14:paraId="67137CC9" w14:textId="7C3C82BB" w:rsidR="00F23BA7" w:rsidRPr="00F23BA7" w:rsidRDefault="00F23BA7">
          <w:pPr>
            <w:pStyle w:val="TOC1"/>
            <w:tabs>
              <w:tab w:val="right" w:leader="dot" w:pos="9350"/>
            </w:tabs>
            <w:rPr>
              <w:rFonts w:eastAsiaTheme="minorEastAsia"/>
              <w:b w:val="0"/>
              <w:bCs w:val="0"/>
              <w:i w:val="0"/>
              <w:iCs w:val="0"/>
              <w:noProof/>
              <w:sz w:val="21"/>
              <w:szCs w:val="21"/>
              <w:lang w:val="en-US"/>
            </w:rPr>
          </w:pPr>
          <w:hyperlink w:anchor="_Toc177397985" w:history="1">
            <w:r w:rsidRPr="00F23BA7">
              <w:rPr>
                <w:rStyle w:val="Hyperlink"/>
                <w:rFonts w:asciiTheme="majorHAnsi" w:hAnsiTheme="majorHAnsi"/>
                <w:noProof/>
                <w:spacing w:val="-6"/>
                <w:sz w:val="21"/>
                <w:szCs w:val="21"/>
              </w:rPr>
              <w:t>THE HEALTH AND SAFETY AT WORK STRATEGY</w:t>
            </w:r>
            <w:r w:rsidRPr="00F23BA7">
              <w:rPr>
                <w:noProof/>
                <w:webHidden/>
                <w:sz w:val="21"/>
                <w:szCs w:val="21"/>
              </w:rPr>
              <w:tab/>
            </w:r>
            <w:r w:rsidRPr="00F23BA7">
              <w:rPr>
                <w:noProof/>
                <w:webHidden/>
                <w:sz w:val="21"/>
                <w:szCs w:val="21"/>
              </w:rPr>
              <w:fldChar w:fldCharType="begin"/>
            </w:r>
            <w:r w:rsidRPr="00F23BA7">
              <w:rPr>
                <w:noProof/>
                <w:webHidden/>
                <w:sz w:val="21"/>
                <w:szCs w:val="21"/>
              </w:rPr>
              <w:instrText xml:space="preserve"> PAGEREF _Toc177397985 \h </w:instrText>
            </w:r>
            <w:r w:rsidRPr="00F23BA7">
              <w:rPr>
                <w:noProof/>
                <w:webHidden/>
                <w:sz w:val="21"/>
                <w:szCs w:val="21"/>
              </w:rPr>
            </w:r>
            <w:r w:rsidRPr="00F23BA7">
              <w:rPr>
                <w:noProof/>
                <w:webHidden/>
                <w:sz w:val="21"/>
                <w:szCs w:val="21"/>
              </w:rPr>
              <w:fldChar w:fldCharType="separate"/>
            </w:r>
            <w:r w:rsidR="0083193F">
              <w:rPr>
                <w:noProof/>
                <w:webHidden/>
                <w:sz w:val="21"/>
                <w:szCs w:val="21"/>
              </w:rPr>
              <w:t>30</w:t>
            </w:r>
            <w:r w:rsidRPr="00F23BA7">
              <w:rPr>
                <w:noProof/>
                <w:webHidden/>
                <w:sz w:val="21"/>
                <w:szCs w:val="21"/>
              </w:rPr>
              <w:fldChar w:fldCharType="end"/>
            </w:r>
          </w:hyperlink>
        </w:p>
        <w:p w14:paraId="71A70E72" w14:textId="4228F531" w:rsidR="00F23BA7" w:rsidRPr="00F23BA7" w:rsidRDefault="00F23BA7">
          <w:pPr>
            <w:pStyle w:val="TOC2"/>
            <w:tabs>
              <w:tab w:val="right" w:leader="dot" w:pos="9350"/>
            </w:tabs>
            <w:rPr>
              <w:rFonts w:eastAsiaTheme="minorEastAsia"/>
              <w:b w:val="0"/>
              <w:bCs w:val="0"/>
              <w:noProof/>
              <w:sz w:val="21"/>
              <w:szCs w:val="21"/>
              <w:lang w:val="en-US"/>
            </w:rPr>
          </w:pPr>
          <w:hyperlink w:anchor="_Toc177397986" w:history="1">
            <w:r w:rsidRPr="00F23BA7">
              <w:rPr>
                <w:rStyle w:val="Hyperlink"/>
                <w:noProof/>
                <w:sz w:val="20"/>
                <w:szCs w:val="20"/>
              </w:rPr>
              <w:t>What happened to the 2018 Strategy?</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_Toc177397986 \h </w:instrText>
            </w:r>
            <w:r w:rsidRPr="00F23BA7">
              <w:rPr>
                <w:noProof/>
                <w:webHidden/>
                <w:sz w:val="20"/>
                <w:szCs w:val="20"/>
              </w:rPr>
            </w:r>
            <w:r w:rsidRPr="00F23BA7">
              <w:rPr>
                <w:noProof/>
                <w:webHidden/>
                <w:sz w:val="20"/>
                <w:szCs w:val="20"/>
              </w:rPr>
              <w:fldChar w:fldCharType="separate"/>
            </w:r>
            <w:r w:rsidR="0083193F">
              <w:rPr>
                <w:noProof/>
                <w:webHidden/>
                <w:sz w:val="20"/>
                <w:szCs w:val="20"/>
              </w:rPr>
              <w:t>30</w:t>
            </w:r>
            <w:r w:rsidRPr="00F23BA7">
              <w:rPr>
                <w:noProof/>
                <w:webHidden/>
                <w:sz w:val="20"/>
                <w:szCs w:val="20"/>
              </w:rPr>
              <w:fldChar w:fldCharType="end"/>
            </w:r>
          </w:hyperlink>
        </w:p>
        <w:p w14:paraId="30E22D0B" w14:textId="68F04496" w:rsidR="00F23BA7" w:rsidRPr="00F23BA7" w:rsidRDefault="00F23BA7">
          <w:pPr>
            <w:pStyle w:val="TOC2"/>
            <w:tabs>
              <w:tab w:val="right" w:leader="dot" w:pos="9350"/>
            </w:tabs>
            <w:rPr>
              <w:rFonts w:eastAsiaTheme="minorEastAsia"/>
              <w:b w:val="0"/>
              <w:bCs w:val="0"/>
              <w:noProof/>
              <w:sz w:val="21"/>
              <w:szCs w:val="21"/>
              <w:lang w:val="en-US"/>
            </w:rPr>
          </w:pPr>
          <w:hyperlink w:anchor="_Toc177397987" w:history="1">
            <w:r w:rsidRPr="00F23BA7">
              <w:rPr>
                <w:rStyle w:val="Hyperlink"/>
                <w:noProof/>
                <w:sz w:val="20"/>
                <w:szCs w:val="20"/>
              </w:rPr>
              <w:t>The need for a refreshed strategy</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_Toc177397987 \h </w:instrText>
            </w:r>
            <w:r w:rsidRPr="00F23BA7">
              <w:rPr>
                <w:noProof/>
                <w:webHidden/>
                <w:sz w:val="20"/>
                <w:szCs w:val="20"/>
              </w:rPr>
            </w:r>
            <w:r w:rsidRPr="00F23BA7">
              <w:rPr>
                <w:noProof/>
                <w:webHidden/>
                <w:sz w:val="20"/>
                <w:szCs w:val="20"/>
              </w:rPr>
              <w:fldChar w:fldCharType="separate"/>
            </w:r>
            <w:r w:rsidR="0083193F">
              <w:rPr>
                <w:noProof/>
                <w:webHidden/>
                <w:sz w:val="20"/>
                <w:szCs w:val="20"/>
              </w:rPr>
              <w:t>31</w:t>
            </w:r>
            <w:r w:rsidRPr="00F23BA7">
              <w:rPr>
                <w:noProof/>
                <w:webHidden/>
                <w:sz w:val="20"/>
                <w:szCs w:val="20"/>
              </w:rPr>
              <w:fldChar w:fldCharType="end"/>
            </w:r>
          </w:hyperlink>
        </w:p>
        <w:p w14:paraId="6FE6BB9C" w14:textId="3C59A759" w:rsidR="00F23BA7" w:rsidRPr="00F23BA7" w:rsidRDefault="00F23BA7">
          <w:pPr>
            <w:pStyle w:val="TOC2"/>
            <w:tabs>
              <w:tab w:val="right" w:leader="dot" w:pos="9350"/>
            </w:tabs>
            <w:rPr>
              <w:rFonts w:eastAsiaTheme="minorEastAsia"/>
              <w:b w:val="0"/>
              <w:bCs w:val="0"/>
              <w:noProof/>
              <w:sz w:val="21"/>
              <w:szCs w:val="21"/>
              <w:lang w:val="en-US"/>
            </w:rPr>
          </w:pPr>
          <w:hyperlink w:anchor="_Toc177397988" w:history="1">
            <w:r w:rsidRPr="00F23BA7">
              <w:rPr>
                <w:rStyle w:val="Hyperlink"/>
                <w:noProof/>
                <w:sz w:val="20"/>
                <w:szCs w:val="20"/>
              </w:rPr>
              <w:t>Independent advice to Ministers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_Toc177397988 \h </w:instrText>
            </w:r>
            <w:r w:rsidRPr="00F23BA7">
              <w:rPr>
                <w:noProof/>
                <w:webHidden/>
                <w:sz w:val="20"/>
                <w:szCs w:val="20"/>
              </w:rPr>
            </w:r>
            <w:r w:rsidRPr="00F23BA7">
              <w:rPr>
                <w:noProof/>
                <w:webHidden/>
                <w:sz w:val="20"/>
                <w:szCs w:val="20"/>
              </w:rPr>
              <w:fldChar w:fldCharType="separate"/>
            </w:r>
            <w:r w:rsidR="0083193F">
              <w:rPr>
                <w:noProof/>
                <w:webHidden/>
                <w:sz w:val="20"/>
                <w:szCs w:val="20"/>
              </w:rPr>
              <w:t>32</w:t>
            </w:r>
            <w:r w:rsidRPr="00F23BA7">
              <w:rPr>
                <w:noProof/>
                <w:webHidden/>
                <w:sz w:val="20"/>
                <w:szCs w:val="20"/>
              </w:rPr>
              <w:fldChar w:fldCharType="end"/>
            </w:r>
          </w:hyperlink>
        </w:p>
        <w:p w14:paraId="01B84DDB" w14:textId="01212746" w:rsidR="00F23BA7" w:rsidRPr="00F23BA7" w:rsidRDefault="00F23BA7">
          <w:pPr>
            <w:pStyle w:val="TOC2"/>
            <w:tabs>
              <w:tab w:val="right" w:leader="dot" w:pos="9350"/>
            </w:tabs>
            <w:rPr>
              <w:rFonts w:eastAsiaTheme="minorEastAsia"/>
              <w:b w:val="0"/>
              <w:bCs w:val="0"/>
              <w:noProof/>
              <w:sz w:val="21"/>
              <w:szCs w:val="21"/>
              <w:lang w:val="en-US"/>
            </w:rPr>
          </w:pPr>
          <w:hyperlink w:anchor="_Toc177397989" w:history="1">
            <w:r w:rsidRPr="00F23BA7">
              <w:rPr>
                <w:rStyle w:val="Hyperlink"/>
                <w:noProof/>
                <w:sz w:val="20"/>
                <w:szCs w:val="20"/>
              </w:rPr>
              <w:t>International legal obligations</w:t>
            </w:r>
            <w:r w:rsidRPr="00F23BA7">
              <w:rPr>
                <w:noProof/>
                <w:webHidden/>
                <w:sz w:val="20"/>
                <w:szCs w:val="20"/>
              </w:rPr>
              <w:tab/>
            </w:r>
            <w:r w:rsidRPr="00F23BA7">
              <w:rPr>
                <w:noProof/>
                <w:webHidden/>
                <w:sz w:val="20"/>
                <w:szCs w:val="20"/>
              </w:rPr>
              <w:fldChar w:fldCharType="begin"/>
            </w:r>
            <w:r w:rsidRPr="00F23BA7">
              <w:rPr>
                <w:noProof/>
                <w:webHidden/>
                <w:sz w:val="20"/>
                <w:szCs w:val="20"/>
              </w:rPr>
              <w:instrText xml:space="preserve"> PAGEREF _Toc177397989 \h </w:instrText>
            </w:r>
            <w:r w:rsidRPr="00F23BA7">
              <w:rPr>
                <w:noProof/>
                <w:webHidden/>
                <w:sz w:val="20"/>
                <w:szCs w:val="20"/>
              </w:rPr>
            </w:r>
            <w:r w:rsidRPr="00F23BA7">
              <w:rPr>
                <w:noProof/>
                <w:webHidden/>
                <w:sz w:val="20"/>
                <w:szCs w:val="20"/>
              </w:rPr>
              <w:fldChar w:fldCharType="separate"/>
            </w:r>
            <w:r w:rsidR="0083193F">
              <w:rPr>
                <w:noProof/>
                <w:webHidden/>
                <w:sz w:val="20"/>
                <w:szCs w:val="20"/>
              </w:rPr>
              <w:t>33</w:t>
            </w:r>
            <w:r w:rsidRPr="00F23BA7">
              <w:rPr>
                <w:noProof/>
                <w:webHidden/>
                <w:sz w:val="20"/>
                <w:szCs w:val="20"/>
              </w:rPr>
              <w:fldChar w:fldCharType="end"/>
            </w:r>
          </w:hyperlink>
        </w:p>
        <w:p w14:paraId="07E10B83" w14:textId="168F798B" w:rsidR="00DD0971" w:rsidRPr="00DD0971" w:rsidRDefault="00DD0971">
          <w:r w:rsidRPr="00F23BA7">
            <w:rPr>
              <w:b/>
              <w:bCs/>
              <w:noProof/>
              <w:sz w:val="20"/>
              <w:szCs w:val="20"/>
            </w:rPr>
            <w:fldChar w:fldCharType="end"/>
          </w:r>
        </w:p>
      </w:sdtContent>
    </w:sdt>
    <w:p w14:paraId="58F950EA" w14:textId="6A6C45B2" w:rsidR="00CB01C8" w:rsidRPr="00DD0971" w:rsidRDefault="00DD0971" w:rsidP="003F5D04">
      <w:pPr>
        <w:pStyle w:val="BodyText"/>
        <w:spacing w:line="400" w:lineRule="exact"/>
        <w:outlineLvl w:val="0"/>
        <w:rPr>
          <w:rFonts w:asciiTheme="majorHAnsi" w:hAnsiTheme="majorHAnsi"/>
          <w:b/>
          <w:bCs/>
          <w:color w:val="04476E"/>
          <w:spacing w:val="-6"/>
          <w:sz w:val="36"/>
          <w:szCs w:val="36"/>
        </w:rPr>
      </w:pPr>
      <w:bookmarkStart w:id="2" w:name="_Toc177397960"/>
      <w:r w:rsidRPr="00DD0971">
        <w:rPr>
          <w:rFonts w:asciiTheme="majorHAnsi" w:hAnsiTheme="majorHAnsi"/>
          <w:b/>
          <w:bCs/>
          <w:color w:val="04476E"/>
          <w:spacing w:val="-6"/>
          <w:sz w:val="36"/>
          <w:szCs w:val="36"/>
        </w:rPr>
        <w:lastRenderedPageBreak/>
        <w:t>INTRODUCTION</w:t>
      </w:r>
      <w:bookmarkEnd w:id="2"/>
    </w:p>
    <w:p w14:paraId="6EE615BC" w14:textId="402B29D1" w:rsidR="00CB01C8" w:rsidRDefault="00171AEB" w:rsidP="003F5D04">
      <w:pPr>
        <w:pStyle w:val="Heading2"/>
        <w:rPr>
          <w:b/>
          <w:bCs/>
        </w:rPr>
      </w:pPr>
      <w:bookmarkStart w:id="3" w:name="_Toc177397961"/>
      <w:r w:rsidRPr="06097C81">
        <w:rPr>
          <w:b/>
          <w:bCs/>
        </w:rPr>
        <w:t>About NZISM</w:t>
      </w:r>
      <w:bookmarkEnd w:id="3"/>
    </w:p>
    <w:p w14:paraId="32577620" w14:textId="02A67050" w:rsidR="00171AEB" w:rsidRDefault="2E732738" w:rsidP="06097C81">
      <w:pPr>
        <w:rPr>
          <w:rFonts w:ascii="Calibri" w:eastAsia="Calibri" w:hAnsi="Calibri" w:cs="Calibri"/>
          <w:color w:val="000000" w:themeColor="text1"/>
        </w:rPr>
      </w:pPr>
      <w:r w:rsidRPr="06097C81">
        <w:rPr>
          <w:rFonts w:ascii="Calibri" w:eastAsia="Calibri" w:hAnsi="Calibri" w:cs="Calibri"/>
          <w:color w:val="000000" w:themeColor="text1"/>
        </w:rPr>
        <w:t xml:space="preserve">The New Zealand Institute of Safety Management is the professional body for health and safety generalists (managers, advisors and consultants). We have 2,800 members (70% of the estimated 4,000 strong generalist workforce). </w:t>
      </w:r>
      <w:r w:rsidR="7F4C7AD4" w:rsidRPr="06097C81">
        <w:rPr>
          <w:rFonts w:ascii="Calibri" w:eastAsia="Calibri" w:hAnsi="Calibri" w:cs="Calibri"/>
          <w:color w:val="000000" w:themeColor="text1"/>
        </w:rPr>
        <w:t>Our members work across all industries and with all business sizes.</w:t>
      </w:r>
    </w:p>
    <w:p w14:paraId="39A996C0" w14:textId="3661438E" w:rsidR="00171AEB" w:rsidRDefault="00171AEB" w:rsidP="06097C81">
      <w:pPr>
        <w:rPr>
          <w:rFonts w:ascii="Calibri" w:eastAsia="Calibri" w:hAnsi="Calibri" w:cs="Calibri"/>
          <w:color w:val="000000" w:themeColor="text1"/>
        </w:rPr>
      </w:pPr>
    </w:p>
    <w:p w14:paraId="658E9BBD" w14:textId="1453A79B" w:rsidR="00171AEB" w:rsidRDefault="2E732738" w:rsidP="06097C81">
      <w:pPr>
        <w:rPr>
          <w:rFonts w:ascii="Calibri" w:eastAsia="Calibri" w:hAnsi="Calibri" w:cs="Calibri"/>
          <w:color w:val="000000" w:themeColor="text1"/>
        </w:rPr>
      </w:pPr>
      <w:r w:rsidRPr="06097C81">
        <w:rPr>
          <w:rFonts w:ascii="Calibri" w:eastAsia="Calibri" w:hAnsi="Calibri" w:cs="Calibri"/>
          <w:color w:val="000000" w:themeColor="text1"/>
        </w:rPr>
        <w:t xml:space="preserve">We are the largest member association within the Health and Safety Association of New Zealand (HASANZ) and </w:t>
      </w:r>
      <w:r w:rsidR="11A4027F" w:rsidRPr="06097C81">
        <w:rPr>
          <w:rFonts w:ascii="Calibri" w:eastAsia="Calibri" w:hAnsi="Calibri" w:cs="Calibri"/>
          <w:color w:val="000000" w:themeColor="text1"/>
        </w:rPr>
        <w:t>have recently celebrated our 52</w:t>
      </w:r>
      <w:r w:rsidR="11A4027F" w:rsidRPr="06097C81">
        <w:rPr>
          <w:rFonts w:ascii="Calibri" w:eastAsia="Calibri" w:hAnsi="Calibri" w:cs="Calibri"/>
          <w:color w:val="000000" w:themeColor="text1"/>
          <w:vertAlign w:val="superscript"/>
        </w:rPr>
        <w:t>nd</w:t>
      </w:r>
      <w:r w:rsidR="11A4027F" w:rsidRPr="06097C81">
        <w:rPr>
          <w:rFonts w:ascii="Calibri" w:eastAsia="Calibri" w:hAnsi="Calibri" w:cs="Calibri"/>
          <w:color w:val="000000" w:themeColor="text1"/>
        </w:rPr>
        <w:t xml:space="preserve"> anniversary.</w:t>
      </w:r>
    </w:p>
    <w:p w14:paraId="79D5E3BF" w14:textId="08C8B567" w:rsidR="00171AEB" w:rsidRDefault="2E732738" w:rsidP="06097C81">
      <w:r w:rsidRPr="06097C81">
        <w:rPr>
          <w:rFonts w:ascii="Calibri" w:eastAsia="Calibri" w:hAnsi="Calibri" w:cs="Calibri"/>
          <w:color w:val="000000" w:themeColor="text1"/>
        </w:rPr>
        <w:t xml:space="preserve"> </w:t>
      </w:r>
    </w:p>
    <w:p w14:paraId="5B76CC0F" w14:textId="34DFD710" w:rsidR="005A7DAC" w:rsidRDefault="2E732738" w:rsidP="06097C81">
      <w:r>
        <w:t xml:space="preserve">We have </w:t>
      </w:r>
      <w:r w:rsidR="22EB0D21">
        <w:t>fourteen</w:t>
      </w:r>
      <w:r>
        <w:t xml:space="preserve"> local branches from Northland to Southland. We provide our members with </w:t>
      </w:r>
      <w:r w:rsidR="07AF496F">
        <w:t>internationally recognised</w:t>
      </w:r>
      <w:r>
        <w:t xml:space="preserve"> professional accreditation and a full programme of continuing professional development and learning.</w:t>
      </w:r>
      <w:r w:rsidR="008B5C57">
        <w:br/>
      </w:r>
    </w:p>
    <w:p w14:paraId="6AF4B276" w14:textId="4A8FDD27" w:rsidR="005A7DAC" w:rsidRDefault="005A7DAC" w:rsidP="06097C81">
      <w:r>
        <w:t xml:space="preserve">NZISM’s submission on this consultation has been strongly informed by our </w:t>
      </w:r>
      <w:hyperlink r:id="rId9" w:history="1">
        <w:r w:rsidR="00494210" w:rsidRPr="005F6F28">
          <w:rPr>
            <w:rStyle w:val="Hyperlink"/>
          </w:rPr>
          <w:t>Health and Safety Reform Survey</w:t>
        </w:r>
      </w:hyperlink>
      <w:r w:rsidR="00494210">
        <w:t xml:space="preserve"> undertaken </w:t>
      </w:r>
      <w:r w:rsidR="004731E1">
        <w:t xml:space="preserve">in April 2024.  With </w:t>
      </w:r>
      <w:r w:rsidR="00494210">
        <w:t>1,321 responses</w:t>
      </w:r>
      <w:r w:rsidR="005F6F28">
        <w:t xml:space="preserve"> from our members and other health and safety experts, we believe these results represent the views of a significant proportion of the health and safety system.</w:t>
      </w:r>
    </w:p>
    <w:p w14:paraId="03ECC2CF" w14:textId="7447A246" w:rsidR="06097C81" w:rsidRDefault="06097C81" w:rsidP="06097C81"/>
    <w:p w14:paraId="211F4CF6" w14:textId="36870AD7" w:rsidR="00D90E52" w:rsidRPr="008B5C57" w:rsidRDefault="00F51D78" w:rsidP="008B5C57">
      <w:pPr>
        <w:pStyle w:val="Heading2"/>
        <w:rPr>
          <w:b/>
          <w:bCs/>
        </w:rPr>
      </w:pPr>
      <w:bookmarkStart w:id="4" w:name="_Toc177397962"/>
      <w:r>
        <w:rPr>
          <w:b/>
          <w:bCs/>
        </w:rPr>
        <w:t>The case for investment in better safety and health outcomes</w:t>
      </w:r>
      <w:bookmarkEnd w:id="4"/>
    </w:p>
    <w:p w14:paraId="7180BEA5" w14:textId="475EC319" w:rsidR="00166852" w:rsidRDefault="00756F5D" w:rsidP="00EE590C">
      <w:pPr>
        <w:rPr>
          <w:rFonts w:ascii="Calibri" w:eastAsia="Calibri" w:hAnsi="Calibri" w:cs="Calibri"/>
          <w:color w:val="000000" w:themeColor="text1"/>
        </w:rPr>
      </w:pPr>
      <w:r>
        <w:rPr>
          <w:rFonts w:ascii="Calibri" w:eastAsia="Calibri" w:hAnsi="Calibri" w:cs="Calibri"/>
          <w:color w:val="000000" w:themeColor="text1"/>
        </w:rPr>
        <w:t xml:space="preserve">The cost of </w:t>
      </w:r>
      <w:r w:rsidR="00E46D50">
        <w:rPr>
          <w:rFonts w:ascii="Calibri" w:eastAsia="Calibri" w:hAnsi="Calibri" w:cs="Calibri"/>
          <w:color w:val="000000" w:themeColor="text1"/>
        </w:rPr>
        <w:t xml:space="preserve">New Zealand’s poor health and safety record to workers, families, communities, businesses and Government is massive and from both a moral and cost perspective dwarfs compliance costs. </w:t>
      </w:r>
    </w:p>
    <w:p w14:paraId="7E1A190C" w14:textId="77777777" w:rsidR="00166852" w:rsidRDefault="00166852" w:rsidP="00EE590C">
      <w:pPr>
        <w:rPr>
          <w:rFonts w:ascii="Calibri" w:eastAsia="Calibri" w:hAnsi="Calibri" w:cs="Calibri"/>
          <w:color w:val="000000" w:themeColor="text1"/>
        </w:rPr>
      </w:pPr>
    </w:p>
    <w:p w14:paraId="7B667AC4" w14:textId="253C775F" w:rsidR="005B2B8A" w:rsidRDefault="00E46D50" w:rsidP="00EE590C">
      <w:pPr>
        <w:rPr>
          <w:rFonts w:ascii="Calibri" w:eastAsia="Calibri" w:hAnsi="Calibri" w:cs="Calibri"/>
          <w:color w:val="000000" w:themeColor="text1"/>
        </w:rPr>
      </w:pPr>
      <w:r>
        <w:rPr>
          <w:rFonts w:ascii="Calibri" w:eastAsia="Calibri" w:hAnsi="Calibri" w:cs="Calibri"/>
          <w:color w:val="000000" w:themeColor="text1"/>
        </w:rPr>
        <w:t xml:space="preserve">To illustrate this we note that </w:t>
      </w:r>
      <w:r w:rsidR="00BE66E4">
        <w:rPr>
          <w:rFonts w:ascii="Calibri" w:eastAsia="Calibri" w:hAnsi="Calibri" w:cs="Calibri"/>
          <w:color w:val="000000" w:themeColor="text1"/>
        </w:rPr>
        <w:t xml:space="preserve">WorkSafe’s recent </w:t>
      </w:r>
      <w:r w:rsidR="00BD1325">
        <w:rPr>
          <w:rFonts w:ascii="Calibri" w:eastAsia="Calibri" w:hAnsi="Calibri" w:cs="Calibri"/>
          <w:color w:val="000000" w:themeColor="text1"/>
        </w:rPr>
        <w:t xml:space="preserve">report </w:t>
      </w:r>
      <w:hyperlink r:id="rId10" w:history="1">
        <w:r w:rsidR="00BD1325" w:rsidRPr="00A90EA2">
          <w:rPr>
            <w:rStyle w:val="Hyperlink"/>
            <w:rFonts w:ascii="Calibri" w:eastAsia="Calibri" w:hAnsi="Calibri" w:cs="Calibri"/>
          </w:rPr>
          <w:t>Work health and safety: An overview of work-related harms and risks in Aotearoa New Zealand (</w:t>
        </w:r>
      </w:hyperlink>
      <w:r w:rsidR="00BD1325">
        <w:rPr>
          <w:rFonts w:ascii="Calibri" w:eastAsia="Calibri" w:hAnsi="Calibri" w:cs="Calibri"/>
          <w:color w:val="000000" w:themeColor="text1"/>
        </w:rPr>
        <w:t>June 2024)</w:t>
      </w:r>
      <w:r w:rsidR="00D27B48">
        <w:rPr>
          <w:rFonts w:ascii="Calibri" w:eastAsia="Calibri" w:hAnsi="Calibri" w:cs="Calibri"/>
          <w:color w:val="000000" w:themeColor="text1"/>
        </w:rPr>
        <w:t xml:space="preserve"> contains a useful summary of the types of harms caused by work-related hazards.</w:t>
      </w:r>
      <w:r w:rsidR="00A90EA2">
        <w:rPr>
          <w:rFonts w:ascii="Calibri" w:eastAsia="Calibri" w:hAnsi="Calibri" w:cs="Calibri"/>
          <w:color w:val="000000" w:themeColor="text1"/>
        </w:rPr>
        <w:t xml:space="preserve"> </w:t>
      </w:r>
      <w:r w:rsidR="005B2B8A">
        <w:rPr>
          <w:rFonts w:ascii="Calibri" w:eastAsia="Calibri" w:hAnsi="Calibri" w:cs="Calibri"/>
          <w:color w:val="000000" w:themeColor="text1"/>
        </w:rPr>
        <w:t xml:space="preserve">The table on p 107 contains an estimate of the Disability Adjusted Life Years lost to </w:t>
      </w:r>
      <w:r w:rsidR="003B53B6">
        <w:rPr>
          <w:rFonts w:ascii="Calibri" w:eastAsia="Calibri" w:hAnsi="Calibri" w:cs="Calibri"/>
          <w:color w:val="000000" w:themeColor="text1"/>
        </w:rPr>
        <w:t>the top 19 causes of work related harm:</w:t>
      </w:r>
    </w:p>
    <w:p w14:paraId="42AF6823" w14:textId="784AE7D9" w:rsidR="003B53B6" w:rsidRPr="00EE590C" w:rsidRDefault="003B53B6" w:rsidP="00EE590C">
      <w:pPr>
        <w:rPr>
          <w:rFonts w:ascii="Calibri" w:eastAsia="Calibri" w:hAnsi="Calibri" w:cs="Calibri"/>
          <w:color w:val="000000" w:themeColor="text1"/>
        </w:rPr>
      </w:pPr>
      <w:r>
        <w:lastRenderedPageBreak/>
        <w:fldChar w:fldCharType="begin"/>
      </w:r>
      <w:r>
        <w:instrText xml:space="preserve"> INCLUDEPICTURE "/Users/jeffsissons/Library/Group Containers/UBF8T346G9.ms/WebArchiveCopyPasteTempFiles/com.microsoft.Word/1721787532230?e=1729123200&amp;v=beta&amp;t=W9VWERDARjfaipZfnLiYBx47uiT3DNz9hXFZKvic_hY" \* MERGEFORMATINET </w:instrText>
      </w:r>
      <w:r>
        <w:fldChar w:fldCharType="separate"/>
      </w:r>
      <w:r>
        <w:rPr>
          <w:noProof/>
        </w:rPr>
        <w:drawing>
          <wp:inline distT="0" distB="0" distL="0" distR="0" wp14:anchorId="7BAB4E55" wp14:editId="206FB3A1">
            <wp:extent cx="5943600" cy="6134735"/>
            <wp:effectExtent l="0" t="0" r="0" b="0"/>
            <wp:docPr id="2108453088"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86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34735"/>
                    </a:xfrm>
                    <a:prstGeom prst="rect">
                      <a:avLst/>
                    </a:prstGeom>
                    <a:noFill/>
                    <a:ln>
                      <a:noFill/>
                    </a:ln>
                  </pic:spPr>
                </pic:pic>
              </a:graphicData>
            </a:graphic>
          </wp:inline>
        </w:drawing>
      </w:r>
      <w:r>
        <w:fldChar w:fldCharType="end"/>
      </w:r>
    </w:p>
    <w:p w14:paraId="280ED985" w14:textId="77777777" w:rsidR="00EE590C" w:rsidRDefault="00EE590C" w:rsidP="00DA2F26">
      <w:pPr>
        <w:rPr>
          <w:b/>
          <w:bCs/>
        </w:rPr>
      </w:pPr>
    </w:p>
    <w:p w14:paraId="54DAF900" w14:textId="25E5EB32" w:rsidR="003B53B6" w:rsidRPr="003B53B6" w:rsidRDefault="002470D4" w:rsidP="00DA2F26">
      <w:r>
        <w:t xml:space="preserve">Noting that these figures contain a number of assumptions, </w:t>
      </w:r>
      <w:r w:rsidR="003B53B6">
        <w:t xml:space="preserve">these 19 risks </w:t>
      </w:r>
      <w:r>
        <w:t xml:space="preserve">combined </w:t>
      </w:r>
      <w:r w:rsidR="003B53B6">
        <w:t>equate</w:t>
      </w:r>
      <w:r>
        <w:t>d</w:t>
      </w:r>
      <w:r w:rsidR="003B53B6">
        <w:t xml:space="preserve"> to </w:t>
      </w:r>
      <w:r w:rsidR="00BA5AE1">
        <w:t xml:space="preserve">the loss of </w:t>
      </w:r>
      <w:r>
        <w:t>almost 50,000</w:t>
      </w:r>
      <w:r w:rsidR="00BA5AE1">
        <w:t xml:space="preserve"> DALYs in 2017.</w:t>
      </w:r>
      <w:r w:rsidR="009F059D">
        <w:t xml:space="preserve">  This is an enormous burde</w:t>
      </w:r>
      <w:r w:rsidR="00E46D50">
        <w:t>n.</w:t>
      </w:r>
    </w:p>
    <w:p w14:paraId="69FE06B0" w14:textId="77777777" w:rsidR="003B53B6" w:rsidRDefault="003B53B6" w:rsidP="00DA2F26">
      <w:pPr>
        <w:rPr>
          <w:b/>
          <w:bCs/>
        </w:rPr>
      </w:pPr>
    </w:p>
    <w:p w14:paraId="491B16F2" w14:textId="39F93011" w:rsidR="009F059D" w:rsidRDefault="009F059D" w:rsidP="009F059D">
      <w:pPr>
        <w:rPr>
          <w:rFonts w:ascii="Calibri" w:eastAsia="Calibri" w:hAnsi="Calibri" w:cs="Calibri"/>
          <w:color w:val="000000" w:themeColor="text1"/>
        </w:rPr>
      </w:pPr>
      <w:r>
        <w:rPr>
          <w:rFonts w:ascii="Calibri" w:eastAsia="Calibri" w:hAnsi="Calibri" w:cs="Calibri"/>
          <w:color w:val="000000" w:themeColor="text1"/>
        </w:rPr>
        <w:t>Our health and safety record compares poorly to many of our peers.  As the Business Leaders</w:t>
      </w:r>
      <w:r w:rsidR="00B86E7A">
        <w:rPr>
          <w:rFonts w:ascii="Calibri" w:eastAsia="Calibri" w:hAnsi="Calibri" w:cs="Calibri"/>
          <w:color w:val="000000" w:themeColor="text1"/>
        </w:rPr>
        <w:t>’</w:t>
      </w:r>
      <w:r>
        <w:rPr>
          <w:rFonts w:ascii="Calibri" w:eastAsia="Calibri" w:hAnsi="Calibri" w:cs="Calibri"/>
          <w:color w:val="000000" w:themeColor="text1"/>
        </w:rPr>
        <w:t xml:space="preserve"> Health and Safety Forum have </w:t>
      </w:r>
      <w:r w:rsidR="00A7345B">
        <w:rPr>
          <w:rFonts w:ascii="Calibri" w:eastAsia="Calibri" w:hAnsi="Calibri" w:cs="Calibri"/>
          <w:color w:val="000000" w:themeColor="text1"/>
        </w:rPr>
        <w:t>conservatively estimated</w:t>
      </w:r>
      <w:r>
        <w:rPr>
          <w:rFonts w:ascii="Calibri" w:eastAsia="Calibri" w:hAnsi="Calibri" w:cs="Calibri"/>
          <w:color w:val="000000" w:themeColor="text1"/>
        </w:rPr>
        <w:t xml:space="preserve"> in their </w:t>
      </w:r>
      <w:hyperlink r:id="rId12" w:history="1">
        <w:r w:rsidRPr="00447CFF">
          <w:rPr>
            <w:rStyle w:val="Hyperlink"/>
            <w:rFonts w:ascii="Calibri" w:eastAsia="Calibri" w:hAnsi="Calibri" w:cs="Calibri"/>
          </w:rPr>
          <w:t>2024 State of Thriving Nation Report</w:t>
        </w:r>
      </w:hyperlink>
      <w:r>
        <w:rPr>
          <w:rFonts w:ascii="Calibri" w:eastAsia="Calibri" w:hAnsi="Calibri" w:cs="Calibri"/>
          <w:color w:val="000000" w:themeColor="text1"/>
        </w:rPr>
        <w:t>, the cost of harm due to workplace injuries and illnesses is at least $4.9 billion dollars a year.</w:t>
      </w:r>
    </w:p>
    <w:p w14:paraId="59F6EB3A" w14:textId="3CADB193" w:rsidR="00151454" w:rsidRDefault="00A7345B" w:rsidP="009F059D">
      <w:pPr>
        <w:rPr>
          <w:rFonts w:ascii="Calibri" w:eastAsia="Calibri" w:hAnsi="Calibri" w:cs="Calibri"/>
          <w:color w:val="000000" w:themeColor="text1"/>
        </w:rPr>
      </w:pPr>
      <w:r>
        <w:rPr>
          <w:rFonts w:ascii="Calibri" w:eastAsia="Calibri" w:hAnsi="Calibri" w:cs="Calibri"/>
          <w:color w:val="000000" w:themeColor="text1"/>
        </w:rPr>
        <w:lastRenderedPageBreak/>
        <w:t xml:space="preserve">Our view is that improvements in New Zealand’s health and safety performance should be treated not as a cost but as an investment in our families, communities, </w:t>
      </w:r>
      <w:r w:rsidR="00151454">
        <w:rPr>
          <w:rFonts w:ascii="Calibri" w:eastAsia="Calibri" w:hAnsi="Calibri" w:cs="Calibri"/>
          <w:color w:val="000000" w:themeColor="text1"/>
        </w:rPr>
        <w:t xml:space="preserve">and </w:t>
      </w:r>
      <w:r>
        <w:rPr>
          <w:rFonts w:ascii="Calibri" w:eastAsia="Calibri" w:hAnsi="Calibri" w:cs="Calibri"/>
          <w:color w:val="000000" w:themeColor="text1"/>
        </w:rPr>
        <w:t>businesses</w:t>
      </w:r>
      <w:r w:rsidR="00151454">
        <w:rPr>
          <w:rFonts w:ascii="Calibri" w:eastAsia="Calibri" w:hAnsi="Calibri" w:cs="Calibri"/>
          <w:color w:val="000000" w:themeColor="text1"/>
        </w:rPr>
        <w:t>.</w:t>
      </w:r>
    </w:p>
    <w:p w14:paraId="6843DCA9" w14:textId="77777777" w:rsidR="00151454" w:rsidRDefault="00151454" w:rsidP="009F059D">
      <w:pPr>
        <w:rPr>
          <w:rFonts w:ascii="Calibri" w:eastAsia="Calibri" w:hAnsi="Calibri" w:cs="Calibri"/>
          <w:color w:val="000000" w:themeColor="text1"/>
        </w:rPr>
      </w:pPr>
    </w:p>
    <w:p w14:paraId="711D0CEF" w14:textId="26E4E279" w:rsidR="00A7345B" w:rsidRDefault="00FB6A58" w:rsidP="009F059D">
      <w:pPr>
        <w:rPr>
          <w:rFonts w:ascii="Calibri" w:eastAsia="Calibri" w:hAnsi="Calibri" w:cs="Calibri"/>
          <w:color w:val="000000" w:themeColor="text1"/>
        </w:rPr>
      </w:pPr>
      <w:r>
        <w:rPr>
          <w:rFonts w:ascii="Calibri" w:eastAsia="Calibri" w:hAnsi="Calibri" w:cs="Calibri"/>
          <w:color w:val="000000" w:themeColor="text1"/>
        </w:rPr>
        <w:t xml:space="preserve">Reducing the burden of work-related harm </w:t>
      </w:r>
      <w:r w:rsidR="00151454">
        <w:rPr>
          <w:rFonts w:ascii="Calibri" w:eastAsia="Calibri" w:hAnsi="Calibri" w:cs="Calibri"/>
          <w:color w:val="000000" w:themeColor="text1"/>
        </w:rPr>
        <w:t xml:space="preserve">has significant value for the </w:t>
      </w:r>
      <w:r w:rsidR="0016039F">
        <w:rPr>
          <w:rFonts w:ascii="Calibri" w:eastAsia="Calibri" w:hAnsi="Calibri" w:cs="Calibri"/>
          <w:color w:val="000000" w:themeColor="text1"/>
        </w:rPr>
        <w:t>Government in a wide range of ways</w:t>
      </w:r>
      <w:r w:rsidR="001056EB">
        <w:rPr>
          <w:rFonts w:ascii="Calibri" w:eastAsia="Calibri" w:hAnsi="Calibri" w:cs="Calibri"/>
          <w:color w:val="000000" w:themeColor="text1"/>
        </w:rPr>
        <w:t>.  For example:</w:t>
      </w:r>
    </w:p>
    <w:p w14:paraId="4F2FE545" w14:textId="63687832" w:rsidR="008220D6" w:rsidRDefault="008220D6" w:rsidP="008220D6">
      <w:pPr>
        <w:pStyle w:val="ListParagraph"/>
        <w:numPr>
          <w:ilvl w:val="0"/>
          <w:numId w:val="42"/>
        </w:numPr>
        <w:rPr>
          <w:rFonts w:ascii="Calibri" w:eastAsia="Calibri" w:hAnsi="Calibri" w:cs="Calibri"/>
          <w:color w:val="000000" w:themeColor="text1"/>
        </w:rPr>
      </w:pPr>
      <w:r>
        <w:rPr>
          <w:rFonts w:ascii="Calibri" w:eastAsia="Calibri" w:hAnsi="Calibri" w:cs="Calibri"/>
          <w:color w:val="000000" w:themeColor="text1"/>
        </w:rPr>
        <w:t xml:space="preserve">Preventative measures lessen the burden of work-related </w:t>
      </w:r>
      <w:r w:rsidR="001056EB">
        <w:rPr>
          <w:rFonts w:ascii="Calibri" w:eastAsia="Calibri" w:hAnsi="Calibri" w:cs="Calibri"/>
          <w:color w:val="000000" w:themeColor="text1"/>
        </w:rPr>
        <w:t>injuries and illnesses on our stretched health system</w:t>
      </w:r>
    </w:p>
    <w:p w14:paraId="0E8C9327" w14:textId="39D80EE0" w:rsidR="008220D6" w:rsidRPr="008220D6" w:rsidRDefault="008220D6" w:rsidP="008220D6">
      <w:pPr>
        <w:pStyle w:val="ListParagraph"/>
        <w:numPr>
          <w:ilvl w:val="0"/>
          <w:numId w:val="42"/>
        </w:numPr>
        <w:rPr>
          <w:rFonts w:ascii="Calibri" w:eastAsia="Calibri" w:hAnsi="Calibri" w:cs="Calibri"/>
          <w:color w:val="000000" w:themeColor="text1"/>
        </w:rPr>
      </w:pPr>
      <w:r>
        <w:rPr>
          <w:rFonts w:ascii="Calibri" w:eastAsia="Calibri" w:hAnsi="Calibri" w:cs="Calibri"/>
          <w:color w:val="000000" w:themeColor="text1"/>
        </w:rPr>
        <w:t>Working people are less dependent on the welfare system (or weekly compensation from ACC)</w:t>
      </w:r>
    </w:p>
    <w:p w14:paraId="5B776754" w14:textId="30BF72C1" w:rsidR="0016039F" w:rsidRDefault="008220D6" w:rsidP="0016039F">
      <w:pPr>
        <w:pStyle w:val="ListParagraph"/>
        <w:numPr>
          <w:ilvl w:val="0"/>
          <w:numId w:val="42"/>
        </w:numPr>
        <w:rPr>
          <w:rFonts w:ascii="Calibri" w:eastAsia="Calibri" w:hAnsi="Calibri" w:cs="Calibri"/>
          <w:color w:val="000000" w:themeColor="text1"/>
        </w:rPr>
      </w:pPr>
      <w:r>
        <w:rPr>
          <w:rFonts w:ascii="Calibri" w:eastAsia="Calibri" w:hAnsi="Calibri" w:cs="Calibri"/>
          <w:color w:val="000000" w:themeColor="text1"/>
        </w:rPr>
        <w:t>Workers who are not dealing with long-term injuries or occupational diseases can (if they choose) work productively for longer and provide more taxable income as a result</w:t>
      </w:r>
    </w:p>
    <w:p w14:paraId="74E968C4" w14:textId="77777777" w:rsidR="009F059D" w:rsidRDefault="009F059D" w:rsidP="00DA2F26">
      <w:pPr>
        <w:rPr>
          <w:b/>
          <w:bCs/>
        </w:rPr>
      </w:pPr>
    </w:p>
    <w:p w14:paraId="1379CF18" w14:textId="01B6EBEF" w:rsidR="00151454" w:rsidRPr="00DD0971" w:rsidRDefault="00151454" w:rsidP="00DA2F26">
      <w:r>
        <w:t>Like all investments, the</w:t>
      </w:r>
      <w:r w:rsidR="009D30CD">
        <w:t>re is a need to target investment in health and safety where it will return the maximum benefit to New Zealand.</w:t>
      </w:r>
    </w:p>
    <w:p w14:paraId="3EEEA99D" w14:textId="65333789" w:rsidR="00E76E5B" w:rsidRDefault="0065497E" w:rsidP="003F5D04">
      <w:pPr>
        <w:pStyle w:val="Heading2"/>
        <w:rPr>
          <w:b/>
          <w:bCs/>
        </w:rPr>
      </w:pPr>
      <w:bookmarkStart w:id="5" w:name="_Toc177397963"/>
      <w:r>
        <w:rPr>
          <w:b/>
          <w:bCs/>
        </w:rPr>
        <w:t>The structure of this submission</w:t>
      </w:r>
      <w:bookmarkEnd w:id="5"/>
    </w:p>
    <w:p w14:paraId="0910F1BB" w14:textId="7B597742" w:rsidR="00166852" w:rsidRDefault="00E22F79" w:rsidP="00DA2F26">
      <w:r>
        <w:t xml:space="preserve">We have discussed our response to the consultation informally with officials.  They have </w:t>
      </w:r>
      <w:r w:rsidR="00820D1D">
        <w:t>acknowledged</w:t>
      </w:r>
      <w:r>
        <w:t xml:space="preserve"> that </w:t>
      </w:r>
      <w:r w:rsidR="00B32381">
        <w:t xml:space="preserve">the </w:t>
      </w:r>
      <w:r w:rsidR="00820D1D">
        <w:t xml:space="preserve">questions in the </w:t>
      </w:r>
      <w:r w:rsidR="00B32381">
        <w:t xml:space="preserve">consultation form </w:t>
      </w:r>
      <w:r w:rsidR="00820D1D">
        <w:t>‘Have your say on work health and safety’ may not be well suited for health and safety profession</w:t>
      </w:r>
      <w:r w:rsidR="00D552B6">
        <w:t>als and their associations.  They have encouraged us to convey the information in the most useful and coherent way possible.</w:t>
      </w:r>
    </w:p>
    <w:p w14:paraId="7452D368" w14:textId="77777777" w:rsidR="00166852" w:rsidRDefault="00166852" w:rsidP="00DA2F26"/>
    <w:p w14:paraId="3A0B2C5E" w14:textId="688C47DC" w:rsidR="0065497E" w:rsidRDefault="00D552B6" w:rsidP="00DA2F26">
      <w:r>
        <w:t xml:space="preserve">To do </w:t>
      </w:r>
      <w:r w:rsidR="00B86E7A">
        <w:t>this</w:t>
      </w:r>
      <w:r w:rsidR="00C12303">
        <w:t xml:space="preserve"> </w:t>
      </w:r>
      <w:r>
        <w:t>w</w:t>
      </w:r>
      <w:r w:rsidR="0065497E" w:rsidRPr="0065497E">
        <w:t>e</w:t>
      </w:r>
      <w:r w:rsidR="0065497E">
        <w:t xml:space="preserve"> have structured our submission based on areas for improvement as follows:</w:t>
      </w:r>
    </w:p>
    <w:p w14:paraId="14AF032E" w14:textId="0C3769AA" w:rsidR="0065497E" w:rsidRDefault="0065497E" w:rsidP="0065497E">
      <w:pPr>
        <w:pStyle w:val="ListParagraph"/>
        <w:numPr>
          <w:ilvl w:val="0"/>
          <w:numId w:val="43"/>
        </w:numPr>
      </w:pPr>
      <w:r>
        <w:t>Changes to the Health and Safety at Work Act 2015</w:t>
      </w:r>
    </w:p>
    <w:p w14:paraId="1F7EB0EC" w14:textId="05642BDC" w:rsidR="000D2E96" w:rsidRDefault="000D2E96" w:rsidP="0065497E">
      <w:pPr>
        <w:pStyle w:val="ListParagraph"/>
        <w:numPr>
          <w:ilvl w:val="0"/>
          <w:numId w:val="43"/>
        </w:numPr>
      </w:pPr>
      <w:r>
        <w:t>Improvements to regulations and guidance making processes</w:t>
      </w:r>
    </w:p>
    <w:p w14:paraId="4E4BDE1F" w14:textId="52FAD584" w:rsidR="00DC7530" w:rsidRDefault="0040122B" w:rsidP="0065497E">
      <w:pPr>
        <w:pStyle w:val="ListParagraph"/>
        <w:numPr>
          <w:ilvl w:val="0"/>
          <w:numId w:val="43"/>
        </w:numPr>
      </w:pPr>
      <w:r>
        <w:t xml:space="preserve">Health and Safety </w:t>
      </w:r>
      <w:r w:rsidR="00DC7530">
        <w:t>Regulators</w:t>
      </w:r>
    </w:p>
    <w:p w14:paraId="607F6D83" w14:textId="2D804465" w:rsidR="00D552B6" w:rsidRDefault="00572389" w:rsidP="00C66465">
      <w:pPr>
        <w:pStyle w:val="ListParagraph"/>
        <w:numPr>
          <w:ilvl w:val="0"/>
          <w:numId w:val="43"/>
        </w:numPr>
      </w:pPr>
      <w:r>
        <w:t>The Health and Safety at Work Strateg</w:t>
      </w:r>
      <w:r w:rsidR="00C66465">
        <w:t>y</w:t>
      </w:r>
    </w:p>
    <w:p w14:paraId="44077E4B" w14:textId="77777777" w:rsidR="00C66465" w:rsidRPr="00D552B6" w:rsidRDefault="00C66465" w:rsidP="00C66465">
      <w:pPr>
        <w:pStyle w:val="ListParagraph"/>
      </w:pPr>
    </w:p>
    <w:p w14:paraId="44B2C121" w14:textId="58FFDC26" w:rsidR="002A63C1" w:rsidRPr="00D552B6" w:rsidRDefault="00D552B6">
      <w:r>
        <w:t xml:space="preserve">The </w:t>
      </w:r>
      <w:r w:rsidR="00572389">
        <w:t>sections on legislation, regulations and guidance</w:t>
      </w:r>
      <w:r>
        <w:t xml:space="preserve"> correlate loosely to focus areas 1 and 2 in the consultation document</w:t>
      </w:r>
      <w:r w:rsidR="0040122B">
        <w:t xml:space="preserve">.  </w:t>
      </w:r>
      <w:r w:rsidR="00572389">
        <w:t xml:space="preserve">The </w:t>
      </w:r>
      <w:r w:rsidR="00C66465">
        <w:t>section</w:t>
      </w:r>
      <w:r w:rsidR="00572389">
        <w:t xml:space="preserve"> on the regulator correlates to focus area 4 and the </w:t>
      </w:r>
      <w:r w:rsidR="00C66465">
        <w:t>section on strategy to focus area 5.</w:t>
      </w:r>
      <w:r w:rsidR="00572389">
        <w:t xml:space="preserve"> </w:t>
      </w:r>
      <w:r w:rsidR="002A63C1" w:rsidRPr="00D552B6">
        <w:br w:type="page"/>
      </w:r>
    </w:p>
    <w:p w14:paraId="7B1153B1" w14:textId="6015F05B" w:rsidR="008F40E8" w:rsidRPr="00554736" w:rsidRDefault="002A63C1" w:rsidP="003F5D04">
      <w:pPr>
        <w:pStyle w:val="BodyText"/>
        <w:spacing w:line="400" w:lineRule="exact"/>
        <w:outlineLvl w:val="0"/>
        <w:rPr>
          <w:rFonts w:asciiTheme="majorHAnsi" w:hAnsiTheme="majorHAnsi"/>
          <w:b/>
          <w:bCs/>
          <w:color w:val="04476E"/>
          <w:spacing w:val="-6"/>
          <w:sz w:val="36"/>
          <w:szCs w:val="36"/>
        </w:rPr>
      </w:pPr>
      <w:bookmarkStart w:id="6" w:name="_Toc177397964"/>
      <w:r w:rsidRPr="00554736">
        <w:rPr>
          <w:rFonts w:asciiTheme="majorHAnsi" w:hAnsiTheme="majorHAnsi"/>
          <w:b/>
          <w:bCs/>
          <w:color w:val="04476E"/>
          <w:spacing w:val="-6"/>
          <w:sz w:val="36"/>
          <w:szCs w:val="36"/>
        </w:rPr>
        <w:lastRenderedPageBreak/>
        <w:t>THE HEALTH AND SAFETY AT WORK ACT 2015</w:t>
      </w:r>
      <w:bookmarkEnd w:id="6"/>
    </w:p>
    <w:p w14:paraId="62C4B345" w14:textId="77777777" w:rsidR="008F40E8" w:rsidRDefault="008F40E8" w:rsidP="008F40E8"/>
    <w:p w14:paraId="2F1E5594" w14:textId="45DBFA57" w:rsidR="008F40E8" w:rsidRDefault="006C59D6" w:rsidP="003F5D04">
      <w:pPr>
        <w:pStyle w:val="Heading2"/>
        <w:rPr>
          <w:b/>
          <w:bCs/>
        </w:rPr>
      </w:pPr>
      <w:bookmarkStart w:id="7" w:name="_Toc177397965"/>
      <w:r>
        <w:rPr>
          <w:b/>
          <w:bCs/>
        </w:rPr>
        <w:t>The Health and Safety at Work</w:t>
      </w:r>
      <w:r w:rsidR="008F40E8" w:rsidRPr="508AAE36">
        <w:rPr>
          <w:b/>
          <w:bCs/>
        </w:rPr>
        <w:t xml:space="preserve"> Act </w:t>
      </w:r>
      <w:r>
        <w:rPr>
          <w:b/>
          <w:bCs/>
        </w:rPr>
        <w:t xml:space="preserve">2015 </w:t>
      </w:r>
      <w:r w:rsidR="008F40E8" w:rsidRPr="508AAE36">
        <w:rPr>
          <w:b/>
          <w:bCs/>
        </w:rPr>
        <w:t>is essentially fit for purpose</w:t>
      </w:r>
      <w:bookmarkEnd w:id="7"/>
    </w:p>
    <w:p w14:paraId="3CA79585" w14:textId="46E04089" w:rsidR="009A639E" w:rsidRDefault="009A639E" w:rsidP="008F40E8">
      <w:pPr>
        <w:spacing w:after="160" w:line="257" w:lineRule="auto"/>
        <w:rPr>
          <w:rFonts w:ascii="Aptos" w:eastAsia="Aptos" w:hAnsi="Aptos" w:cs="Aptos"/>
          <w:sz w:val="22"/>
          <w:szCs w:val="22"/>
        </w:rPr>
      </w:pPr>
      <w:r>
        <w:rPr>
          <w:rFonts w:ascii="Aptos" w:eastAsia="Aptos" w:hAnsi="Aptos" w:cs="Aptos"/>
          <w:sz w:val="22"/>
          <w:szCs w:val="22"/>
        </w:rPr>
        <w:t>Our survey of</w:t>
      </w:r>
      <w:r w:rsidR="008F40E8" w:rsidRPr="508AAE36">
        <w:rPr>
          <w:rFonts w:ascii="Aptos" w:eastAsia="Aptos" w:hAnsi="Aptos" w:cs="Aptos"/>
          <w:sz w:val="22"/>
          <w:szCs w:val="22"/>
        </w:rPr>
        <w:t xml:space="preserve"> </w:t>
      </w:r>
      <w:r>
        <w:rPr>
          <w:rFonts w:ascii="Aptos" w:eastAsia="Aptos" w:hAnsi="Aptos" w:cs="Aptos"/>
          <w:sz w:val="22"/>
          <w:szCs w:val="22"/>
        </w:rPr>
        <w:t xml:space="preserve">more than </w:t>
      </w:r>
      <w:r w:rsidR="008F40E8" w:rsidRPr="508AAE36">
        <w:rPr>
          <w:rFonts w:ascii="Aptos" w:eastAsia="Aptos" w:hAnsi="Aptos" w:cs="Aptos"/>
          <w:sz w:val="22"/>
          <w:szCs w:val="22"/>
        </w:rPr>
        <w:t>1,300 health and safety professionals</w:t>
      </w:r>
      <w:r>
        <w:rPr>
          <w:rFonts w:ascii="Aptos" w:eastAsia="Aptos" w:hAnsi="Aptos" w:cs="Aptos"/>
          <w:sz w:val="22"/>
          <w:szCs w:val="22"/>
        </w:rPr>
        <w:t xml:space="preserve"> suggests </w:t>
      </w:r>
      <w:r w:rsidR="008F40E8" w:rsidRPr="508AAE36">
        <w:rPr>
          <w:rFonts w:ascii="Aptos" w:eastAsia="Aptos" w:hAnsi="Aptos" w:cs="Aptos"/>
          <w:sz w:val="22"/>
          <w:szCs w:val="22"/>
        </w:rPr>
        <w:t>a consensus that the Act is fundamentally fit for purpose and any changes will not significantly improve injury and harm outcomes.</w:t>
      </w:r>
      <w:r w:rsidR="002535F8">
        <w:rPr>
          <w:rFonts w:ascii="Aptos" w:eastAsia="Aptos" w:hAnsi="Aptos" w:cs="Aptos"/>
          <w:sz w:val="22"/>
          <w:szCs w:val="22"/>
        </w:rPr>
        <w:t xml:space="preserve">  This is not surprising:  </w:t>
      </w:r>
      <w:r w:rsidR="009A5428">
        <w:rPr>
          <w:rFonts w:ascii="Aptos" w:eastAsia="Aptos" w:hAnsi="Aptos" w:cs="Aptos"/>
          <w:sz w:val="22"/>
          <w:szCs w:val="22"/>
        </w:rPr>
        <w:t xml:space="preserve">Our legislation is a closer copy of the Australian Model WHS Act (as it was in 2014) </w:t>
      </w:r>
      <w:r w:rsidR="00394A75">
        <w:rPr>
          <w:rFonts w:ascii="Aptos" w:eastAsia="Aptos" w:hAnsi="Aptos" w:cs="Aptos"/>
          <w:sz w:val="22"/>
          <w:szCs w:val="22"/>
        </w:rPr>
        <w:t>than that adopted by most Australian states.  If our primary health and safety legislation is essentially the same</w:t>
      </w:r>
      <w:r w:rsidR="00E028D1">
        <w:rPr>
          <w:rFonts w:ascii="Aptos" w:eastAsia="Aptos" w:hAnsi="Aptos" w:cs="Aptos"/>
          <w:sz w:val="22"/>
          <w:szCs w:val="22"/>
        </w:rPr>
        <w:t xml:space="preserve"> as Australia’s then our performance gap</w:t>
      </w:r>
      <w:r w:rsidR="00394A75">
        <w:rPr>
          <w:rFonts w:ascii="Aptos" w:eastAsia="Aptos" w:hAnsi="Aptos" w:cs="Aptos"/>
          <w:sz w:val="22"/>
          <w:szCs w:val="22"/>
        </w:rPr>
        <w:t xml:space="preserve"> likely </w:t>
      </w:r>
      <w:r w:rsidR="00E028D1">
        <w:rPr>
          <w:rFonts w:ascii="Aptos" w:eastAsia="Aptos" w:hAnsi="Aptos" w:cs="Aptos"/>
          <w:sz w:val="22"/>
          <w:szCs w:val="22"/>
        </w:rPr>
        <w:t xml:space="preserve">resides </w:t>
      </w:r>
      <w:r w:rsidR="00394A75">
        <w:rPr>
          <w:rFonts w:ascii="Aptos" w:eastAsia="Aptos" w:hAnsi="Aptos" w:cs="Aptos"/>
          <w:sz w:val="22"/>
          <w:szCs w:val="22"/>
        </w:rPr>
        <w:t>elsewhere.</w:t>
      </w:r>
      <w:r w:rsidR="00394A75">
        <w:rPr>
          <w:rStyle w:val="FootnoteReference"/>
          <w:rFonts w:ascii="Aptos" w:eastAsia="Aptos" w:hAnsi="Aptos" w:cs="Aptos"/>
          <w:sz w:val="22"/>
          <w:szCs w:val="22"/>
        </w:rPr>
        <w:footnoteReference w:id="2"/>
      </w:r>
    </w:p>
    <w:p w14:paraId="4CCB24C5" w14:textId="1ACE3511" w:rsidR="009A639E" w:rsidRDefault="00794DEB" w:rsidP="008F40E8">
      <w:pPr>
        <w:spacing w:after="160" w:line="257" w:lineRule="auto"/>
        <w:rPr>
          <w:rFonts w:ascii="Aptos" w:eastAsia="Aptos" w:hAnsi="Aptos" w:cs="Aptos"/>
          <w:sz w:val="22"/>
          <w:szCs w:val="22"/>
        </w:rPr>
      </w:pPr>
      <w:r>
        <w:rPr>
          <w:rFonts w:ascii="Aptos" w:eastAsia="Aptos" w:hAnsi="Aptos" w:cs="Aptos"/>
          <w:sz w:val="22"/>
          <w:szCs w:val="22"/>
        </w:rPr>
        <w:t>We asked survey respondents whether they believed key sections of the Health and Safety at Work Act 2015 were fit for purpose, required minor change or major change.  Their overall scores were as follows:</w:t>
      </w:r>
    </w:p>
    <w:p w14:paraId="62EAE2C1" w14:textId="6D7C47AA" w:rsidR="009A639E" w:rsidRDefault="00793F87" w:rsidP="008F40E8">
      <w:pPr>
        <w:spacing w:after="160" w:line="257" w:lineRule="auto"/>
        <w:rPr>
          <w:rFonts w:ascii="Aptos" w:eastAsia="Aptos" w:hAnsi="Aptos" w:cs="Aptos"/>
          <w:sz w:val="22"/>
          <w:szCs w:val="22"/>
        </w:rPr>
      </w:pPr>
      <w:r w:rsidRPr="00793F87">
        <w:rPr>
          <w:rFonts w:ascii="Aptos" w:eastAsia="Aptos" w:hAnsi="Aptos" w:cs="Aptos"/>
          <w:noProof/>
          <w:sz w:val="22"/>
          <w:szCs w:val="22"/>
        </w:rPr>
        <w:drawing>
          <wp:inline distT="0" distB="0" distL="0" distR="0" wp14:anchorId="459DFA16" wp14:editId="2BC50A10">
            <wp:extent cx="5943600" cy="2673350"/>
            <wp:effectExtent l="0" t="0" r="0" b="6350"/>
            <wp:docPr id="1177661955" name="Picture 1" descr="A graph of progres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61955" name="Picture 1" descr="A graph of progress with numbers and text&#10;&#10;Description automatically generated with medium confidence"/>
                    <pic:cNvPicPr/>
                  </pic:nvPicPr>
                  <pic:blipFill>
                    <a:blip r:embed="rId13"/>
                    <a:stretch>
                      <a:fillRect/>
                    </a:stretch>
                  </pic:blipFill>
                  <pic:spPr>
                    <a:xfrm>
                      <a:off x="0" y="0"/>
                      <a:ext cx="5943600" cy="2673350"/>
                    </a:xfrm>
                    <a:prstGeom prst="rect">
                      <a:avLst/>
                    </a:prstGeom>
                  </pic:spPr>
                </pic:pic>
              </a:graphicData>
            </a:graphic>
          </wp:inline>
        </w:drawing>
      </w:r>
    </w:p>
    <w:p w14:paraId="39C5DDBE" w14:textId="7297E966" w:rsidR="008F40E8" w:rsidRDefault="00216CA0" w:rsidP="008F40E8">
      <w:pPr>
        <w:spacing w:after="160" w:line="257" w:lineRule="auto"/>
      </w:pPr>
      <w:r>
        <w:rPr>
          <w:rFonts w:ascii="Aptos" w:eastAsia="Aptos" w:hAnsi="Aptos" w:cs="Aptos"/>
          <w:sz w:val="22"/>
          <w:szCs w:val="22"/>
        </w:rPr>
        <w:t xml:space="preserve">While we do not consider that changes to the Health and Safety at Work Act 2015 are where the most significant gains will be </w:t>
      </w:r>
      <w:r w:rsidR="009E3FB2">
        <w:rPr>
          <w:rFonts w:ascii="Aptos" w:eastAsia="Aptos" w:hAnsi="Aptos" w:cs="Aptos"/>
          <w:sz w:val="22"/>
          <w:szCs w:val="22"/>
        </w:rPr>
        <w:t>made, we recommend some changes that we believe will be beneficial:</w:t>
      </w:r>
    </w:p>
    <w:p w14:paraId="76D886BB" w14:textId="28418C6D" w:rsidR="008F40E8" w:rsidRDefault="00A2752B" w:rsidP="008F40E8">
      <w:pPr>
        <w:pStyle w:val="ListParagraph"/>
        <w:numPr>
          <w:ilvl w:val="0"/>
          <w:numId w:val="5"/>
        </w:numPr>
        <w:spacing w:line="257" w:lineRule="auto"/>
        <w:rPr>
          <w:rFonts w:ascii="Aptos" w:eastAsia="Aptos" w:hAnsi="Aptos" w:cs="Aptos"/>
          <w:sz w:val="22"/>
          <w:szCs w:val="22"/>
        </w:rPr>
      </w:pPr>
      <w:r>
        <w:rPr>
          <w:rFonts w:ascii="Aptos" w:eastAsia="Aptos" w:hAnsi="Aptos" w:cs="Aptos"/>
          <w:sz w:val="22"/>
          <w:szCs w:val="22"/>
        </w:rPr>
        <w:t xml:space="preserve">Strengthening requirements for </w:t>
      </w:r>
      <w:r w:rsidR="008F40E8" w:rsidRPr="508AAE36">
        <w:rPr>
          <w:rFonts w:ascii="Aptos" w:eastAsia="Aptos" w:hAnsi="Aptos" w:cs="Aptos"/>
          <w:sz w:val="22"/>
          <w:szCs w:val="22"/>
        </w:rPr>
        <w:t xml:space="preserve">competent advice </w:t>
      </w:r>
    </w:p>
    <w:p w14:paraId="6BB5A36D" w14:textId="77777777" w:rsidR="008F40E8" w:rsidRDefault="008F40E8" w:rsidP="008F40E8">
      <w:pPr>
        <w:pStyle w:val="ListParagraph"/>
        <w:numPr>
          <w:ilvl w:val="0"/>
          <w:numId w:val="5"/>
        </w:numPr>
        <w:spacing w:line="257" w:lineRule="auto"/>
        <w:rPr>
          <w:rFonts w:ascii="Aptos" w:eastAsia="Aptos" w:hAnsi="Aptos" w:cs="Aptos"/>
          <w:sz w:val="22"/>
          <w:szCs w:val="22"/>
        </w:rPr>
      </w:pPr>
      <w:r w:rsidRPr="508AAE36">
        <w:rPr>
          <w:rFonts w:ascii="Aptos" w:eastAsia="Aptos" w:hAnsi="Aptos" w:cs="Aptos"/>
          <w:sz w:val="22"/>
          <w:szCs w:val="22"/>
        </w:rPr>
        <w:t>Clarification of overlapping duties</w:t>
      </w:r>
    </w:p>
    <w:p w14:paraId="324B713A" w14:textId="77777777" w:rsidR="008F40E8" w:rsidRDefault="008F40E8" w:rsidP="008F40E8">
      <w:pPr>
        <w:pStyle w:val="ListParagraph"/>
        <w:numPr>
          <w:ilvl w:val="0"/>
          <w:numId w:val="5"/>
        </w:numPr>
        <w:spacing w:line="257" w:lineRule="auto"/>
        <w:rPr>
          <w:rFonts w:ascii="Aptos" w:eastAsia="Aptos" w:hAnsi="Aptos" w:cs="Aptos"/>
          <w:sz w:val="22"/>
          <w:szCs w:val="22"/>
        </w:rPr>
      </w:pPr>
      <w:r w:rsidRPr="483F0DFE">
        <w:rPr>
          <w:rFonts w:ascii="Aptos" w:eastAsia="Aptos" w:hAnsi="Aptos" w:cs="Aptos"/>
          <w:sz w:val="22"/>
          <w:szCs w:val="22"/>
        </w:rPr>
        <w:t xml:space="preserve">Application of fines and penalties </w:t>
      </w:r>
    </w:p>
    <w:p w14:paraId="134395D0" w14:textId="77777777" w:rsidR="008F40E8" w:rsidRPr="00554736" w:rsidRDefault="008F40E8" w:rsidP="008F40E8">
      <w:pPr>
        <w:pStyle w:val="ListParagraph"/>
        <w:numPr>
          <w:ilvl w:val="0"/>
          <w:numId w:val="5"/>
        </w:numPr>
        <w:spacing w:line="257" w:lineRule="auto"/>
        <w:rPr>
          <w:rFonts w:ascii="Aptos" w:eastAsia="Aptos" w:hAnsi="Aptos" w:cs="Aptos"/>
          <w:sz w:val="22"/>
          <w:szCs w:val="22"/>
        </w:rPr>
      </w:pPr>
      <w:r w:rsidRPr="00554736">
        <w:rPr>
          <w:rFonts w:ascii="Aptos" w:eastAsia="Aptos" w:hAnsi="Aptos" w:cs="Aptos"/>
          <w:sz w:val="22"/>
          <w:szCs w:val="22"/>
        </w:rPr>
        <w:t xml:space="preserve">Gross negligence </w:t>
      </w:r>
    </w:p>
    <w:p w14:paraId="313142E1" w14:textId="77777777" w:rsidR="008F40E8" w:rsidRDefault="008F40E8" w:rsidP="008F40E8">
      <w:pPr>
        <w:rPr>
          <w:b/>
          <w:bCs/>
        </w:rPr>
      </w:pPr>
    </w:p>
    <w:p w14:paraId="49DF7579" w14:textId="2416833E" w:rsidR="008F40E8" w:rsidRPr="003F5D04" w:rsidRDefault="008F40E8" w:rsidP="003F5D04">
      <w:pPr>
        <w:pStyle w:val="Heading2"/>
        <w:rPr>
          <w:b/>
          <w:bCs/>
        </w:rPr>
      </w:pPr>
      <w:bookmarkStart w:id="8" w:name="_Toc177397966"/>
      <w:r w:rsidRPr="003F5D04">
        <w:rPr>
          <w:b/>
          <w:bCs/>
        </w:rPr>
        <w:lastRenderedPageBreak/>
        <w:t>Re</w:t>
      </w:r>
      <w:r w:rsidR="006524A3">
        <w:rPr>
          <w:b/>
          <w:bCs/>
        </w:rPr>
        <w:t xml:space="preserve">quirements for </w:t>
      </w:r>
      <w:r w:rsidRPr="003F5D04">
        <w:rPr>
          <w:b/>
          <w:bCs/>
        </w:rPr>
        <w:t>competent advice</w:t>
      </w:r>
      <w:bookmarkEnd w:id="8"/>
    </w:p>
    <w:p w14:paraId="54AD6255" w14:textId="5E367F79" w:rsidR="008F40E8" w:rsidRPr="00EF3E26" w:rsidRDefault="008F40E8" w:rsidP="008F40E8">
      <w:pPr>
        <w:spacing w:after="160" w:line="257" w:lineRule="auto"/>
        <w:rPr>
          <w:rFonts w:ascii="Aptos" w:eastAsia="Aptos" w:hAnsi="Aptos" w:cs="Aptos"/>
        </w:rPr>
      </w:pPr>
      <w:r w:rsidRPr="00EF3E26">
        <w:rPr>
          <w:rFonts w:ascii="Aptos" w:eastAsia="Aptos" w:hAnsi="Aptos" w:cs="Aptos"/>
        </w:rPr>
        <w:t>Any</w:t>
      </w:r>
      <w:r w:rsidR="00B3504E" w:rsidRPr="00EF3E26">
        <w:rPr>
          <w:rFonts w:ascii="Aptos" w:eastAsia="Aptos" w:hAnsi="Aptos" w:cs="Aptos"/>
        </w:rPr>
        <w:t>body</w:t>
      </w:r>
      <w:r w:rsidRPr="00EF3E26">
        <w:rPr>
          <w:rFonts w:ascii="Aptos" w:eastAsia="Aptos" w:hAnsi="Aptos" w:cs="Aptos"/>
        </w:rPr>
        <w:t xml:space="preserve"> can set up shop or promote themselves as a health and safety </w:t>
      </w:r>
      <w:r w:rsidR="00D03632" w:rsidRPr="00EF3E26">
        <w:rPr>
          <w:rFonts w:ascii="Aptos" w:eastAsia="Aptos" w:hAnsi="Aptos" w:cs="Aptos"/>
        </w:rPr>
        <w:t xml:space="preserve">expert without restriction or sanction.  </w:t>
      </w:r>
      <w:r w:rsidR="00503B5A" w:rsidRPr="00EF3E26">
        <w:rPr>
          <w:rFonts w:ascii="Aptos" w:eastAsia="Aptos" w:hAnsi="Aptos" w:cs="Aptos"/>
        </w:rPr>
        <w:t>There are no</w:t>
      </w:r>
      <w:r w:rsidR="00D03632" w:rsidRPr="00EF3E26">
        <w:rPr>
          <w:rFonts w:ascii="Aptos" w:eastAsia="Aptos" w:hAnsi="Aptos" w:cs="Aptos"/>
        </w:rPr>
        <w:t xml:space="preserve"> requirement</w:t>
      </w:r>
      <w:r w:rsidR="00503B5A" w:rsidRPr="00EF3E26">
        <w:rPr>
          <w:rFonts w:ascii="Aptos" w:eastAsia="Aptos" w:hAnsi="Aptos" w:cs="Aptos"/>
        </w:rPr>
        <w:t>s</w:t>
      </w:r>
      <w:r w:rsidR="00D03632" w:rsidRPr="00EF3E26">
        <w:rPr>
          <w:rFonts w:ascii="Aptos" w:eastAsia="Aptos" w:hAnsi="Aptos" w:cs="Aptos"/>
        </w:rPr>
        <w:t xml:space="preserve"> to meet a minimum standard of education, knowledge, experience or ethics.</w:t>
      </w:r>
    </w:p>
    <w:p w14:paraId="799A4703" w14:textId="08A3AFE4" w:rsidR="00503B5A" w:rsidRPr="00EF3E26" w:rsidRDefault="0001479B" w:rsidP="008F40E8">
      <w:pPr>
        <w:spacing w:after="160" w:line="257" w:lineRule="auto"/>
        <w:rPr>
          <w:rFonts w:ascii="Aptos" w:eastAsia="Aptos" w:hAnsi="Aptos" w:cs="Aptos"/>
        </w:rPr>
      </w:pPr>
      <w:r w:rsidRPr="00EF3E26">
        <w:rPr>
          <w:rFonts w:ascii="Aptos" w:eastAsia="Aptos" w:hAnsi="Aptos" w:cs="Aptos"/>
        </w:rPr>
        <w:t xml:space="preserve">NZISM and others </w:t>
      </w:r>
      <w:r w:rsidR="00503B5A" w:rsidRPr="00EF3E26">
        <w:rPr>
          <w:rFonts w:ascii="Aptos" w:eastAsia="Aptos" w:hAnsi="Aptos" w:cs="Aptos"/>
        </w:rPr>
        <w:t>have put significant effort</w:t>
      </w:r>
      <w:r w:rsidR="008F40E8" w:rsidRPr="00EF3E26">
        <w:rPr>
          <w:rFonts w:ascii="Aptos" w:eastAsia="Aptos" w:hAnsi="Aptos" w:cs="Aptos"/>
        </w:rPr>
        <w:t xml:space="preserve"> into self-regulation and the promotion of competent health and safety advice though the development of skills, knowledge, and associated continual professional development</w:t>
      </w:r>
      <w:r w:rsidR="00503B5A" w:rsidRPr="00EF3E26">
        <w:rPr>
          <w:rFonts w:ascii="Aptos" w:eastAsia="Aptos" w:hAnsi="Aptos" w:cs="Aptos"/>
        </w:rPr>
        <w:t>.</w:t>
      </w:r>
      <w:r w:rsidR="002B3575" w:rsidRPr="00EF3E26">
        <w:rPr>
          <w:rFonts w:ascii="Aptos" w:eastAsia="Aptos" w:hAnsi="Aptos" w:cs="Aptos"/>
        </w:rPr>
        <w:t xml:space="preserve">  NZISM requires our members to commit to a code of ethics and there is a complaints process for redress against an NZISM member who has failed to uphold these standards.</w:t>
      </w:r>
      <w:r w:rsidR="00503B5A" w:rsidRPr="00EF3E26">
        <w:rPr>
          <w:rFonts w:ascii="Aptos" w:eastAsia="Aptos" w:hAnsi="Aptos" w:cs="Aptos"/>
        </w:rPr>
        <w:t xml:space="preserve">  </w:t>
      </w:r>
    </w:p>
    <w:p w14:paraId="0AD6C5B8" w14:textId="3BA2259D" w:rsidR="00FE4000" w:rsidRPr="00EF3E26" w:rsidRDefault="00FE4000" w:rsidP="008F40E8">
      <w:pPr>
        <w:spacing w:after="160" w:line="257" w:lineRule="auto"/>
        <w:rPr>
          <w:rFonts w:ascii="Aptos" w:eastAsia="Aptos" w:hAnsi="Aptos" w:cs="Aptos"/>
        </w:rPr>
      </w:pPr>
      <w:r w:rsidRPr="00EF3E26">
        <w:rPr>
          <w:rFonts w:ascii="Aptos" w:eastAsia="Aptos" w:hAnsi="Aptos" w:cs="Aptos"/>
        </w:rPr>
        <w:t xml:space="preserve">NZISM also maintains an accreditation framework which permits members to </w:t>
      </w:r>
      <w:r w:rsidR="009D13CF" w:rsidRPr="00EF3E26">
        <w:rPr>
          <w:rFonts w:ascii="Aptos" w:eastAsia="Aptos" w:hAnsi="Aptos" w:cs="Aptos"/>
        </w:rPr>
        <w:t xml:space="preserve">increase their standing as they become more senior and </w:t>
      </w:r>
      <w:r w:rsidR="006524A3" w:rsidRPr="00EF3E26">
        <w:rPr>
          <w:rFonts w:ascii="Aptos" w:eastAsia="Aptos" w:hAnsi="Aptos" w:cs="Aptos"/>
        </w:rPr>
        <w:t>knowledgeable</w:t>
      </w:r>
      <w:r w:rsidR="009D13CF" w:rsidRPr="00EF3E26">
        <w:rPr>
          <w:rFonts w:ascii="Aptos" w:eastAsia="Aptos" w:hAnsi="Aptos" w:cs="Aptos"/>
        </w:rPr>
        <w:t xml:space="preserve">.  </w:t>
      </w:r>
      <w:r w:rsidR="00671D75" w:rsidRPr="00EF3E26">
        <w:rPr>
          <w:rFonts w:ascii="Aptos" w:eastAsia="Aptos" w:hAnsi="Aptos" w:cs="Aptos"/>
        </w:rPr>
        <w:t xml:space="preserve">Our </w:t>
      </w:r>
      <w:r w:rsidR="006524A3" w:rsidRPr="00EF3E26">
        <w:rPr>
          <w:rFonts w:ascii="Aptos" w:eastAsia="Aptos" w:hAnsi="Aptos" w:cs="Aptos"/>
        </w:rPr>
        <w:t>accreditation</w:t>
      </w:r>
      <w:r w:rsidR="009D13CF" w:rsidRPr="00EF3E26">
        <w:rPr>
          <w:rFonts w:ascii="Aptos" w:eastAsia="Aptos" w:hAnsi="Aptos" w:cs="Aptos"/>
        </w:rPr>
        <w:t xml:space="preserve"> </w:t>
      </w:r>
      <w:r w:rsidR="006524A3" w:rsidRPr="00EF3E26">
        <w:rPr>
          <w:rFonts w:ascii="Aptos" w:eastAsia="Aptos" w:hAnsi="Aptos" w:cs="Aptos"/>
        </w:rPr>
        <w:t xml:space="preserve">framework </w:t>
      </w:r>
      <w:r w:rsidR="009D13CF" w:rsidRPr="00EF3E26">
        <w:rPr>
          <w:rFonts w:ascii="Aptos" w:eastAsia="Aptos" w:hAnsi="Aptos" w:cs="Aptos"/>
        </w:rPr>
        <w:t>is internationally aligned including with our equivalents in the United Kingdom and South Africa</w:t>
      </w:r>
      <w:r w:rsidR="007C5CBE">
        <w:rPr>
          <w:rFonts w:ascii="Aptos" w:eastAsia="Aptos" w:hAnsi="Aptos" w:cs="Aptos"/>
        </w:rPr>
        <w:t>,</w:t>
      </w:r>
      <w:r w:rsidR="009D13CF" w:rsidRPr="00EF3E26">
        <w:rPr>
          <w:rFonts w:ascii="Aptos" w:eastAsia="Aptos" w:hAnsi="Aptos" w:cs="Aptos"/>
        </w:rPr>
        <w:t xml:space="preserve"> and with the International </w:t>
      </w:r>
      <w:r w:rsidR="00671D75" w:rsidRPr="00EF3E26">
        <w:rPr>
          <w:rFonts w:ascii="Aptos" w:eastAsia="Aptos" w:hAnsi="Aptos" w:cs="Aptos"/>
        </w:rPr>
        <w:t>Network of Safety and Health Professionals Organisations Framework.</w:t>
      </w:r>
    </w:p>
    <w:p w14:paraId="45AD0451" w14:textId="01FE5D52" w:rsidR="00FB1A8A" w:rsidRPr="00EF3E26" w:rsidRDefault="00503B5A" w:rsidP="008F40E8">
      <w:pPr>
        <w:spacing w:after="160" w:line="257" w:lineRule="auto"/>
        <w:rPr>
          <w:rFonts w:ascii="Aptos" w:eastAsia="Aptos" w:hAnsi="Aptos" w:cs="Aptos"/>
        </w:rPr>
      </w:pPr>
      <w:r w:rsidRPr="00EF3E26">
        <w:rPr>
          <w:rFonts w:ascii="Aptos" w:eastAsia="Aptos" w:hAnsi="Aptos" w:cs="Aptos"/>
        </w:rPr>
        <w:t>However</w:t>
      </w:r>
      <w:r w:rsidR="007C5CBE">
        <w:rPr>
          <w:rFonts w:ascii="Aptos" w:eastAsia="Aptos" w:hAnsi="Aptos" w:cs="Aptos"/>
        </w:rPr>
        <w:t>,</w:t>
      </w:r>
      <w:r w:rsidR="00671D75" w:rsidRPr="00EF3E26">
        <w:rPr>
          <w:rFonts w:ascii="Aptos" w:eastAsia="Aptos" w:hAnsi="Aptos" w:cs="Aptos"/>
        </w:rPr>
        <w:t xml:space="preserve"> the reality is that</w:t>
      </w:r>
      <w:r w:rsidR="008F40E8" w:rsidRPr="00EF3E26">
        <w:rPr>
          <w:rFonts w:ascii="Aptos" w:eastAsia="Aptos" w:hAnsi="Aptos" w:cs="Aptos"/>
        </w:rPr>
        <w:t xml:space="preserve"> only the</w:t>
      </w:r>
      <w:r w:rsidR="00F77E28" w:rsidRPr="00EF3E26">
        <w:rPr>
          <w:rFonts w:ascii="Aptos" w:eastAsia="Aptos" w:hAnsi="Aptos" w:cs="Aptos"/>
        </w:rPr>
        <w:t xml:space="preserve"> </w:t>
      </w:r>
      <w:r w:rsidR="008F40E8" w:rsidRPr="00EF3E26">
        <w:rPr>
          <w:rFonts w:ascii="Aptos" w:eastAsia="Aptos" w:hAnsi="Aptos" w:cs="Aptos"/>
        </w:rPr>
        <w:t xml:space="preserve">motivated maintain accreditation. </w:t>
      </w:r>
      <w:r w:rsidR="00FB1A8A" w:rsidRPr="00EF3E26">
        <w:rPr>
          <w:rFonts w:ascii="Aptos" w:eastAsia="Aptos" w:hAnsi="Aptos" w:cs="Aptos"/>
        </w:rPr>
        <w:t xml:space="preserve">The incentives for </w:t>
      </w:r>
      <w:r w:rsidR="008F40E8" w:rsidRPr="00EF3E26">
        <w:rPr>
          <w:rFonts w:ascii="Aptos" w:eastAsia="Aptos" w:hAnsi="Aptos" w:cs="Aptos"/>
        </w:rPr>
        <w:t xml:space="preserve">health and safety practitioners </w:t>
      </w:r>
      <w:r w:rsidR="00FB1A8A" w:rsidRPr="00EF3E26">
        <w:rPr>
          <w:rFonts w:ascii="Aptos" w:eastAsia="Aptos" w:hAnsi="Aptos" w:cs="Aptos"/>
        </w:rPr>
        <w:t xml:space="preserve">to </w:t>
      </w:r>
      <w:r w:rsidR="008F40E8" w:rsidRPr="00EF3E26">
        <w:rPr>
          <w:rFonts w:ascii="Aptos" w:eastAsia="Aptos" w:hAnsi="Aptos" w:cs="Aptos"/>
        </w:rPr>
        <w:t>pursue accreditation</w:t>
      </w:r>
      <w:r w:rsidR="00FB1A8A" w:rsidRPr="00EF3E26">
        <w:rPr>
          <w:rFonts w:ascii="Aptos" w:eastAsia="Aptos" w:hAnsi="Aptos" w:cs="Aptos"/>
        </w:rPr>
        <w:t xml:space="preserve"> are primarily professional standing with their peers and for discerning PCBUs who understand </w:t>
      </w:r>
      <w:r w:rsidR="00016193" w:rsidRPr="00EF3E26">
        <w:rPr>
          <w:rFonts w:ascii="Aptos" w:eastAsia="Aptos" w:hAnsi="Aptos" w:cs="Aptos"/>
        </w:rPr>
        <w:t>the knowledge, skills and commitment to ongoing professional improvement that accreditation represents.</w:t>
      </w:r>
    </w:p>
    <w:p w14:paraId="7091C39E" w14:textId="209C39D0" w:rsidR="008F40E8" w:rsidRPr="00EF3E26" w:rsidRDefault="007C5CBE" w:rsidP="002674D0">
      <w:pPr>
        <w:spacing w:after="160" w:line="257" w:lineRule="auto"/>
        <w:rPr>
          <w:rFonts w:ascii="Aptos" w:eastAsia="Aptos" w:hAnsi="Aptos" w:cs="Aptos"/>
        </w:rPr>
      </w:pPr>
      <w:r>
        <w:rPr>
          <w:rFonts w:ascii="Aptos" w:eastAsia="Aptos" w:hAnsi="Aptos" w:cs="Aptos"/>
        </w:rPr>
        <w:t>Without</w:t>
      </w:r>
      <w:r w:rsidRPr="00EF3E26">
        <w:rPr>
          <w:rFonts w:ascii="Aptos" w:eastAsia="Aptos" w:hAnsi="Aptos" w:cs="Aptos"/>
        </w:rPr>
        <w:t xml:space="preserve"> </w:t>
      </w:r>
      <w:r w:rsidR="008F40E8" w:rsidRPr="00EF3E26">
        <w:rPr>
          <w:rFonts w:ascii="Aptos" w:eastAsia="Aptos" w:hAnsi="Aptos" w:cs="Aptos"/>
        </w:rPr>
        <w:t xml:space="preserve">clear </w:t>
      </w:r>
      <w:r w:rsidR="00F77E28" w:rsidRPr="00EF3E26">
        <w:rPr>
          <w:rFonts w:ascii="Aptos" w:eastAsia="Aptos" w:hAnsi="Aptos" w:cs="Aptos"/>
        </w:rPr>
        <w:t>signals to the market</w:t>
      </w:r>
      <w:r w:rsidR="008F40E8" w:rsidRPr="00EF3E26">
        <w:rPr>
          <w:rFonts w:ascii="Aptos" w:eastAsia="Aptos" w:hAnsi="Aptos" w:cs="Aptos"/>
        </w:rPr>
        <w:t xml:space="preserve">, </w:t>
      </w:r>
      <w:r w:rsidR="00F77E28" w:rsidRPr="00EF3E26">
        <w:rPr>
          <w:rFonts w:ascii="Aptos" w:eastAsia="Aptos" w:hAnsi="Aptos" w:cs="Aptos"/>
        </w:rPr>
        <w:t>people</w:t>
      </w:r>
      <w:r w:rsidR="008F40E8" w:rsidRPr="00EF3E26">
        <w:rPr>
          <w:rFonts w:ascii="Aptos" w:eastAsia="Aptos" w:hAnsi="Aptos" w:cs="Aptos"/>
        </w:rPr>
        <w:t xml:space="preserve"> </w:t>
      </w:r>
      <w:r w:rsidR="000B4427" w:rsidRPr="00EF3E26">
        <w:rPr>
          <w:rFonts w:ascii="Aptos" w:eastAsia="Aptos" w:hAnsi="Aptos" w:cs="Aptos"/>
        </w:rPr>
        <w:t>without knowledge, skills</w:t>
      </w:r>
      <w:r w:rsidR="008F40E8" w:rsidRPr="00EF3E26">
        <w:rPr>
          <w:rFonts w:ascii="Aptos" w:eastAsia="Aptos" w:hAnsi="Aptos" w:cs="Aptos"/>
        </w:rPr>
        <w:t xml:space="preserve"> or competence can </w:t>
      </w:r>
      <w:r w:rsidR="00F77E28" w:rsidRPr="00EF3E26">
        <w:rPr>
          <w:rFonts w:ascii="Aptos" w:eastAsia="Aptos" w:hAnsi="Aptos" w:cs="Aptos"/>
        </w:rPr>
        <w:t>hold themselves out as experts</w:t>
      </w:r>
      <w:r w:rsidR="000B4427" w:rsidRPr="00EF3E26">
        <w:rPr>
          <w:rFonts w:ascii="Aptos" w:eastAsia="Aptos" w:hAnsi="Aptos" w:cs="Aptos"/>
        </w:rPr>
        <w:t xml:space="preserve"> in health and safety</w:t>
      </w:r>
      <w:r w:rsidR="002674D0" w:rsidRPr="00EF3E26">
        <w:rPr>
          <w:rFonts w:ascii="Aptos" w:eastAsia="Aptos" w:hAnsi="Aptos" w:cs="Aptos"/>
        </w:rPr>
        <w:t>.</w:t>
      </w:r>
      <w:r w:rsidR="001242FB" w:rsidRPr="00EF3E26">
        <w:rPr>
          <w:rFonts w:ascii="Aptos" w:eastAsia="Aptos" w:hAnsi="Aptos" w:cs="Aptos"/>
        </w:rPr>
        <w:t xml:space="preserve">  The lack of requirement to join a professional body such as NZISM means that there is no recourse </w:t>
      </w:r>
      <w:r w:rsidR="00E65A2B" w:rsidRPr="00EF3E26">
        <w:rPr>
          <w:rFonts w:ascii="Aptos" w:eastAsia="Aptos" w:hAnsi="Aptos" w:cs="Aptos"/>
        </w:rPr>
        <w:t>to a professional body for a person who feels that they have received substandard advice or services.</w:t>
      </w:r>
      <w:r w:rsidR="000E5BAD" w:rsidRPr="00EF3E26">
        <w:rPr>
          <w:rFonts w:ascii="Aptos" w:eastAsia="Aptos" w:hAnsi="Aptos" w:cs="Aptos"/>
        </w:rPr>
        <w:t xml:space="preserve">  There is no way to exit incompetent or </w:t>
      </w:r>
      <w:r w:rsidR="0089776F" w:rsidRPr="00EF3E26">
        <w:rPr>
          <w:rFonts w:ascii="Aptos" w:eastAsia="Aptos" w:hAnsi="Aptos" w:cs="Aptos"/>
        </w:rPr>
        <w:t>fraudulent actors from the market.  We suspect this</w:t>
      </w:r>
      <w:r w:rsidR="00E741D5" w:rsidRPr="00EF3E26">
        <w:rPr>
          <w:rFonts w:ascii="Aptos" w:eastAsia="Aptos" w:hAnsi="Aptos" w:cs="Aptos"/>
        </w:rPr>
        <w:t xml:space="preserve"> lack of quality control contributes to some of the stories of poor practice we see in the market.</w:t>
      </w:r>
    </w:p>
    <w:p w14:paraId="3B58103F" w14:textId="6ADBBD78" w:rsidR="007C60E0" w:rsidRPr="00EF3E26" w:rsidRDefault="007C60E0" w:rsidP="002674D0">
      <w:pPr>
        <w:spacing w:after="160" w:line="257" w:lineRule="auto"/>
      </w:pPr>
      <w:r w:rsidRPr="00EF3E26">
        <w:rPr>
          <w:rFonts w:ascii="Aptos" w:eastAsia="Aptos" w:hAnsi="Aptos" w:cs="Aptos"/>
        </w:rPr>
        <w:t xml:space="preserve">There are a number of </w:t>
      </w:r>
      <w:r w:rsidR="000F6914" w:rsidRPr="00EF3E26">
        <w:rPr>
          <w:rFonts w:ascii="Aptos" w:eastAsia="Aptos" w:hAnsi="Aptos" w:cs="Aptos"/>
        </w:rPr>
        <w:t xml:space="preserve">complementary </w:t>
      </w:r>
      <w:r w:rsidRPr="00EF3E26">
        <w:rPr>
          <w:rFonts w:ascii="Aptos" w:eastAsia="Aptos" w:hAnsi="Aptos" w:cs="Aptos"/>
        </w:rPr>
        <w:t>possible solutions to this issue.</w:t>
      </w:r>
    </w:p>
    <w:p w14:paraId="5A8575BA" w14:textId="2F895F2F" w:rsidR="008F40E8" w:rsidRPr="00DD0971" w:rsidRDefault="008F40E8" w:rsidP="00DD0971">
      <w:pPr>
        <w:spacing w:after="240"/>
        <w:rPr>
          <w:rFonts w:ascii="Aptos" w:eastAsia="Aptos" w:hAnsi="Aptos" w:cs="Aptos"/>
          <w:color w:val="000000" w:themeColor="text1"/>
        </w:rPr>
      </w:pPr>
      <w:r w:rsidRPr="002A63C1">
        <w:rPr>
          <w:rFonts w:ascii="Aptos" w:eastAsia="Aptos" w:hAnsi="Aptos" w:cs="Aptos"/>
          <w:color w:val="000000" w:themeColor="text1"/>
          <w:u w:val="single"/>
        </w:rPr>
        <w:t>We recommend the introduction of protected title</w:t>
      </w:r>
      <w:r w:rsidR="005B6E78" w:rsidRPr="002A63C1">
        <w:rPr>
          <w:rFonts w:ascii="Aptos" w:eastAsia="Aptos" w:hAnsi="Aptos" w:cs="Aptos"/>
          <w:color w:val="000000" w:themeColor="text1"/>
          <w:u w:val="single"/>
        </w:rPr>
        <w:t xml:space="preserve">s for health and safety </w:t>
      </w:r>
      <w:r w:rsidR="007342E5" w:rsidRPr="002A63C1">
        <w:rPr>
          <w:rFonts w:ascii="Aptos" w:eastAsia="Aptos" w:hAnsi="Aptos" w:cs="Aptos"/>
          <w:color w:val="000000" w:themeColor="text1"/>
          <w:u w:val="single"/>
        </w:rPr>
        <w:t>practitioners</w:t>
      </w:r>
      <w:r w:rsidRPr="002A63C1">
        <w:rPr>
          <w:rFonts w:ascii="Aptos" w:eastAsia="Aptos" w:hAnsi="Aptos" w:cs="Aptos"/>
          <w:color w:val="000000" w:themeColor="text1"/>
          <w:u w:val="single"/>
        </w:rPr>
        <w:t>.</w:t>
      </w:r>
      <w:r w:rsidRPr="002A63C1">
        <w:rPr>
          <w:rFonts w:ascii="Aptos" w:eastAsia="Aptos" w:hAnsi="Aptos" w:cs="Aptos"/>
          <w:color w:val="000000" w:themeColor="text1"/>
        </w:rPr>
        <w:t xml:space="preserve"> </w:t>
      </w:r>
      <w:r w:rsidRPr="00EF3E26">
        <w:rPr>
          <w:rFonts w:ascii="Aptos" w:eastAsia="Aptos" w:hAnsi="Aptos" w:cs="Aptos"/>
          <w:color w:val="000000" w:themeColor="text1"/>
        </w:rPr>
        <w:t xml:space="preserve">This means that only those people who are registered, or endorsed, in a particular health and safety profession can use the titles associated with that profession. </w:t>
      </w:r>
      <w:r w:rsidR="000F6914" w:rsidRPr="00EF3E26">
        <w:rPr>
          <w:rFonts w:ascii="Aptos" w:eastAsia="Aptos" w:hAnsi="Aptos" w:cs="Aptos"/>
          <w:color w:val="000000" w:themeColor="text1"/>
        </w:rPr>
        <w:t xml:space="preserve"> This would follow the lead of other</w:t>
      </w:r>
      <w:r w:rsidR="00D92713" w:rsidRPr="00EF3E26">
        <w:rPr>
          <w:rFonts w:ascii="Aptos" w:eastAsia="Aptos" w:hAnsi="Aptos" w:cs="Aptos"/>
          <w:color w:val="000000" w:themeColor="text1"/>
        </w:rPr>
        <w:t xml:space="preserve"> professions </w:t>
      </w:r>
      <w:r w:rsidR="000F6914" w:rsidRPr="00EF3E26">
        <w:rPr>
          <w:rFonts w:ascii="Aptos" w:eastAsia="Aptos" w:hAnsi="Aptos" w:cs="Aptos"/>
          <w:color w:val="000000" w:themeColor="text1"/>
        </w:rPr>
        <w:t>with</w:t>
      </w:r>
      <w:r w:rsidR="00D92713" w:rsidRPr="00EF3E26">
        <w:rPr>
          <w:rFonts w:ascii="Aptos" w:eastAsia="Aptos" w:hAnsi="Aptos" w:cs="Aptos"/>
          <w:color w:val="000000" w:themeColor="text1"/>
        </w:rPr>
        <w:t xml:space="preserve"> </w:t>
      </w:r>
      <w:r w:rsidR="00497194" w:rsidRPr="00EF3E26">
        <w:rPr>
          <w:rFonts w:ascii="Aptos" w:eastAsia="Aptos" w:hAnsi="Aptos" w:cs="Aptos"/>
          <w:color w:val="000000" w:themeColor="text1"/>
        </w:rPr>
        <w:t>protected titles including</w:t>
      </w:r>
      <w:r w:rsidR="00D92713" w:rsidRPr="00EF3E26">
        <w:rPr>
          <w:rFonts w:ascii="Aptos" w:eastAsia="Aptos" w:hAnsi="Aptos" w:cs="Aptos"/>
          <w:color w:val="000000" w:themeColor="text1"/>
        </w:rPr>
        <w:t xml:space="preserve"> lawyers, engineers and many </w:t>
      </w:r>
      <w:r w:rsidR="00497194" w:rsidRPr="00EF3E26">
        <w:rPr>
          <w:rFonts w:ascii="Aptos" w:eastAsia="Aptos" w:hAnsi="Aptos" w:cs="Aptos"/>
          <w:color w:val="000000" w:themeColor="text1"/>
        </w:rPr>
        <w:t>health practitioners.</w:t>
      </w:r>
      <w:r w:rsidR="00497194" w:rsidRPr="00EF3E26">
        <w:rPr>
          <w:rFonts w:ascii="Aptos" w:eastAsia="Aptos" w:hAnsi="Aptos" w:cs="Aptos"/>
        </w:rPr>
        <w:t xml:space="preserve">  </w:t>
      </w:r>
      <w:r w:rsidRPr="00EF3E26">
        <w:rPr>
          <w:rFonts w:eastAsiaTheme="minorEastAsia"/>
        </w:rPr>
        <w:t>This would articulate an expectation that the person is appropriately trained and qualified in the health and safety profession, registered, and that they are expected to meet the professional stan</w:t>
      </w:r>
      <w:r w:rsidRPr="00EF3E26">
        <w:rPr>
          <w:rFonts w:ascii="Aptos" w:eastAsia="Aptos" w:hAnsi="Aptos" w:cs="Aptos"/>
        </w:rPr>
        <w:t>dards of practice.</w:t>
      </w:r>
    </w:p>
    <w:p w14:paraId="39238BCC" w14:textId="3F69C3E4" w:rsidR="00A2752B" w:rsidRPr="00A2752B" w:rsidRDefault="001122B2" w:rsidP="00DD0971">
      <w:pPr>
        <w:rPr>
          <w:rFonts w:ascii="Aptos" w:eastAsia="Aptos" w:hAnsi="Aptos" w:cs="Aptos"/>
          <w:color w:val="000000" w:themeColor="text1"/>
        </w:rPr>
      </w:pPr>
      <w:r w:rsidRPr="002A63C1">
        <w:rPr>
          <w:rFonts w:ascii="Aptos" w:eastAsia="Aptos" w:hAnsi="Aptos" w:cs="Aptos"/>
          <w:color w:val="000000" w:themeColor="text1"/>
          <w:u w:val="single"/>
        </w:rPr>
        <w:t xml:space="preserve">We also recommend that </w:t>
      </w:r>
      <w:r w:rsidR="00283D54" w:rsidRPr="002A63C1">
        <w:rPr>
          <w:rFonts w:ascii="Aptos" w:eastAsia="Aptos" w:hAnsi="Aptos" w:cs="Aptos"/>
          <w:color w:val="000000" w:themeColor="text1"/>
          <w:u w:val="single"/>
        </w:rPr>
        <w:t>a requirement is added to the Health and Safety at Work Act 2015 that PCBUs and officers receive competent advice with regard to the discharge of their health and safety duties.</w:t>
      </w:r>
      <w:r w:rsidR="00283D54" w:rsidRPr="002A63C1">
        <w:rPr>
          <w:rFonts w:ascii="Aptos" w:eastAsia="Aptos" w:hAnsi="Aptos" w:cs="Aptos"/>
          <w:color w:val="000000" w:themeColor="text1"/>
        </w:rPr>
        <w:t xml:space="preserve">  </w:t>
      </w:r>
      <w:r w:rsidR="00283D54" w:rsidRPr="00EF3E26">
        <w:rPr>
          <w:rFonts w:ascii="Aptos" w:eastAsia="Aptos" w:hAnsi="Aptos" w:cs="Aptos"/>
          <w:color w:val="000000" w:themeColor="text1"/>
        </w:rPr>
        <w:t xml:space="preserve">This is the approach taken in the United Kingdom </w:t>
      </w:r>
      <w:r w:rsidR="00E67935" w:rsidRPr="00EF3E26">
        <w:rPr>
          <w:rFonts w:ascii="Aptos" w:eastAsia="Aptos" w:hAnsi="Aptos" w:cs="Aptos"/>
          <w:color w:val="000000" w:themeColor="text1"/>
        </w:rPr>
        <w:t xml:space="preserve">under </w:t>
      </w:r>
      <w:hyperlink r:id="rId14" w:history="1">
        <w:r w:rsidR="00E67935" w:rsidRPr="00EF3E26">
          <w:rPr>
            <w:rStyle w:val="Hyperlink"/>
          </w:rPr>
          <w:t>reg 7 of the Management of Health and Safety at Work Regulations 1999</w:t>
        </w:r>
      </w:hyperlink>
      <w:r w:rsidR="00E67935" w:rsidRPr="00A2752B">
        <w:rPr>
          <w:rFonts w:ascii="Aptos" w:eastAsia="Aptos" w:hAnsi="Aptos" w:cs="Aptos"/>
          <w:color w:val="000000" w:themeColor="text1"/>
        </w:rPr>
        <w:t>.</w:t>
      </w:r>
      <w:r w:rsidR="00A2752B" w:rsidRPr="00A2752B">
        <w:rPr>
          <w:rFonts w:ascii="Aptos" w:eastAsia="Aptos" w:hAnsi="Aptos" w:cs="Aptos"/>
          <w:color w:val="000000" w:themeColor="text1"/>
        </w:rPr>
        <w:t xml:space="preserve">  This </w:t>
      </w:r>
      <w:r w:rsidR="00A2752B">
        <w:rPr>
          <w:rFonts w:ascii="Aptos" w:eastAsia="Aptos" w:hAnsi="Aptos" w:cs="Aptos"/>
          <w:color w:val="000000" w:themeColor="text1"/>
        </w:rPr>
        <w:t xml:space="preserve">would act as a more </w:t>
      </w:r>
      <w:r w:rsidR="00A2752B">
        <w:rPr>
          <w:rFonts w:ascii="Aptos" w:eastAsia="Aptos" w:hAnsi="Aptos" w:cs="Aptos"/>
          <w:color w:val="000000" w:themeColor="text1"/>
        </w:rPr>
        <w:lastRenderedPageBreak/>
        <w:t xml:space="preserve">explicit signal to PCBUs and officers to consider the </w:t>
      </w:r>
      <w:r w:rsidR="002A63C1">
        <w:rPr>
          <w:rFonts w:ascii="Aptos" w:eastAsia="Aptos" w:hAnsi="Aptos" w:cs="Aptos"/>
          <w:color w:val="000000" w:themeColor="text1"/>
        </w:rPr>
        <w:t>qualifications and experience of those providing health and safety advice.  These requirements could then be expanded upon for example in WorkSafe guidance or procurement standards (such as the Government procurement rules).</w:t>
      </w:r>
    </w:p>
    <w:p w14:paraId="4D024726" w14:textId="77777777" w:rsidR="008F40E8" w:rsidRDefault="008F40E8" w:rsidP="008F40E8"/>
    <w:p w14:paraId="4DCD3FBA" w14:textId="2E753B05" w:rsidR="008F40E8" w:rsidRPr="004E1ECC" w:rsidRDefault="008F40E8" w:rsidP="004E1ECC">
      <w:pPr>
        <w:pStyle w:val="Heading2"/>
        <w:rPr>
          <w:b/>
          <w:bCs/>
        </w:rPr>
      </w:pPr>
      <w:bookmarkStart w:id="9" w:name="_Toc177397967"/>
      <w:r w:rsidRPr="002A63C1">
        <w:rPr>
          <w:b/>
          <w:bCs/>
        </w:rPr>
        <w:t>Clarification of overlapping duties</w:t>
      </w:r>
      <w:bookmarkEnd w:id="9"/>
    </w:p>
    <w:p w14:paraId="2B96C976" w14:textId="3D6031CF" w:rsidR="00150AD6" w:rsidRDefault="004E1ECC" w:rsidP="008F40E8">
      <w:r>
        <w:t xml:space="preserve">The Health and Safety at Work Act 2015 does not permit </w:t>
      </w:r>
      <w:r w:rsidR="00813B1E">
        <w:t>organisations or people</w:t>
      </w:r>
      <w:r>
        <w:t xml:space="preserve"> to </w:t>
      </w:r>
      <w:r w:rsidR="00E80F46">
        <w:t>transfer</w:t>
      </w:r>
      <w:r>
        <w:t xml:space="preserve"> their duties under the Act</w:t>
      </w:r>
      <w:r w:rsidR="00E80F46">
        <w:t xml:space="preserve"> (s 31)</w:t>
      </w:r>
      <w:r w:rsidR="00813B1E">
        <w:t xml:space="preserve">.  Duties can be shared between people and organisations and </w:t>
      </w:r>
      <w:r w:rsidR="00A21400">
        <w:t>each must “</w:t>
      </w:r>
      <w:r w:rsidR="00A21400" w:rsidRPr="00A21400">
        <w:t>discharge that person’s duty to the extent to which the person has the ability to influence and control the matter</w:t>
      </w:r>
      <w:r w:rsidR="00A21400">
        <w:t>” (s 32)</w:t>
      </w:r>
      <w:r w:rsidR="00166936">
        <w:t xml:space="preserve">.  Where PCBUs share a duty they must </w:t>
      </w:r>
      <w:r w:rsidR="004A6018">
        <w:t>consult,</w:t>
      </w:r>
      <w:r w:rsidR="00166936">
        <w:t xml:space="preserve"> cooperate and </w:t>
      </w:r>
      <w:r w:rsidR="004A6018">
        <w:t>coordinate activities</w:t>
      </w:r>
      <w:r w:rsidR="00175F20">
        <w:t xml:space="preserve"> with each other</w:t>
      </w:r>
      <w:r w:rsidR="004A6018">
        <w:t xml:space="preserve"> </w:t>
      </w:r>
      <w:r w:rsidR="00166936">
        <w:t xml:space="preserve">so far as reasonably practicable </w:t>
      </w:r>
      <w:r w:rsidR="00175F20">
        <w:t>(s 33).</w:t>
      </w:r>
    </w:p>
    <w:p w14:paraId="7F6126F5" w14:textId="77777777" w:rsidR="004E1ECC" w:rsidRDefault="004E1ECC" w:rsidP="008F40E8"/>
    <w:p w14:paraId="00A324E5" w14:textId="7A48C94F" w:rsidR="00D02475" w:rsidRDefault="00175F20" w:rsidP="00431E1E">
      <w:pPr>
        <w:rPr>
          <w:rFonts w:ascii="Aptos" w:eastAsia="Aptos" w:hAnsi="Aptos" w:cs="Aptos"/>
        </w:rPr>
      </w:pPr>
      <w:r w:rsidRPr="00175F20">
        <w:t>What this means in practice is not well</w:t>
      </w:r>
      <w:r w:rsidR="008F40E8" w:rsidRPr="00175F20">
        <w:rPr>
          <w:rFonts w:ascii="Aptos" w:eastAsia="Aptos" w:hAnsi="Aptos" w:cs="Aptos"/>
        </w:rPr>
        <w:t xml:space="preserve"> understood. </w:t>
      </w:r>
      <w:r w:rsidR="00722C5A">
        <w:rPr>
          <w:rFonts w:ascii="Aptos" w:eastAsia="Aptos" w:hAnsi="Aptos" w:cs="Aptos"/>
        </w:rPr>
        <w:t xml:space="preserve">In </w:t>
      </w:r>
      <w:r w:rsidR="008F40E8" w:rsidRPr="00175F20">
        <w:rPr>
          <w:rFonts w:ascii="Aptos" w:eastAsia="Aptos" w:hAnsi="Aptos" w:cs="Aptos"/>
        </w:rPr>
        <w:t>many circumstances</w:t>
      </w:r>
      <w:r w:rsidR="00722C5A">
        <w:rPr>
          <w:rFonts w:ascii="Aptos" w:eastAsia="Aptos" w:hAnsi="Aptos" w:cs="Aptos"/>
        </w:rPr>
        <w:t>,</w:t>
      </w:r>
      <w:r w:rsidR="008F40E8" w:rsidRPr="00175F20">
        <w:rPr>
          <w:rFonts w:ascii="Aptos" w:eastAsia="Aptos" w:hAnsi="Aptos" w:cs="Aptos"/>
        </w:rPr>
        <w:t xml:space="preserve"> </w:t>
      </w:r>
      <w:r w:rsidR="00722C5A">
        <w:rPr>
          <w:rFonts w:ascii="Aptos" w:eastAsia="Aptos" w:hAnsi="Aptos" w:cs="Aptos"/>
        </w:rPr>
        <w:t>organisations and people are unclear as to the extent of their duties and either under- or over-</w:t>
      </w:r>
      <w:r w:rsidR="00D02475">
        <w:rPr>
          <w:rFonts w:ascii="Aptos" w:eastAsia="Aptos" w:hAnsi="Aptos" w:cs="Aptos"/>
        </w:rPr>
        <w:t>react</w:t>
      </w:r>
      <w:r w:rsidR="008F40E8" w:rsidRPr="00175F20">
        <w:rPr>
          <w:rFonts w:ascii="Aptos" w:eastAsia="Aptos" w:hAnsi="Aptos" w:cs="Aptos"/>
        </w:rPr>
        <w:t xml:space="preserve">. This is particularly noticeable when attempting to integrate health and safety management practices across multiple PCBUs, especially when different PCBUs have varying safety protocols or priorities. </w:t>
      </w:r>
      <w:r w:rsidR="00D02475">
        <w:rPr>
          <w:rFonts w:ascii="Aptos" w:eastAsia="Aptos" w:hAnsi="Aptos" w:cs="Aptos"/>
        </w:rPr>
        <w:t>Ambiguity</w:t>
      </w:r>
      <w:r w:rsidR="008F40E8" w:rsidRPr="00175F20">
        <w:rPr>
          <w:rFonts w:ascii="Aptos" w:eastAsia="Aptos" w:hAnsi="Aptos" w:cs="Aptos"/>
        </w:rPr>
        <w:t xml:space="preserve"> about who is responsible </w:t>
      </w:r>
      <w:r w:rsidR="00431E1E">
        <w:rPr>
          <w:rFonts w:ascii="Aptos" w:eastAsia="Aptos" w:hAnsi="Aptos" w:cs="Aptos"/>
        </w:rPr>
        <w:t xml:space="preserve">leads </w:t>
      </w:r>
      <w:r w:rsidR="008F40E8" w:rsidRPr="00175F20">
        <w:rPr>
          <w:rFonts w:ascii="Aptos" w:eastAsia="Aptos" w:hAnsi="Aptos" w:cs="Aptos"/>
        </w:rPr>
        <w:t>to confusion about who should address particular hazards or risks. The end result is duplicat</w:t>
      </w:r>
      <w:r w:rsidR="00431E1E">
        <w:rPr>
          <w:rFonts w:ascii="Aptos" w:eastAsia="Aptos" w:hAnsi="Aptos" w:cs="Aptos"/>
        </w:rPr>
        <w:t>ion of</w:t>
      </w:r>
      <w:r w:rsidR="008F40E8" w:rsidRPr="00175F20">
        <w:rPr>
          <w:rFonts w:ascii="Aptos" w:eastAsia="Aptos" w:hAnsi="Aptos" w:cs="Aptos"/>
        </w:rPr>
        <w:t xml:space="preserve"> efforts in health and safety management, leading to inefficiencies and increased costs to businesses.</w:t>
      </w:r>
    </w:p>
    <w:p w14:paraId="032EA363" w14:textId="77777777" w:rsidR="00CA78B3" w:rsidRDefault="00CA78B3" w:rsidP="00431E1E">
      <w:pPr>
        <w:rPr>
          <w:rFonts w:ascii="Aptos" w:eastAsia="Aptos" w:hAnsi="Aptos" w:cs="Aptos"/>
        </w:rPr>
      </w:pPr>
    </w:p>
    <w:p w14:paraId="1286C1F7" w14:textId="47323FA1" w:rsidR="00CA78B3" w:rsidRDefault="00F20DB2" w:rsidP="00431E1E">
      <w:pPr>
        <w:rPr>
          <w:rFonts w:ascii="Aptos" w:eastAsia="Aptos" w:hAnsi="Aptos" w:cs="Aptos"/>
        </w:rPr>
      </w:pPr>
      <w:r>
        <w:rPr>
          <w:rFonts w:ascii="Aptos" w:eastAsia="Aptos" w:hAnsi="Aptos" w:cs="Aptos"/>
        </w:rPr>
        <w:t>As two</w:t>
      </w:r>
      <w:r w:rsidR="00CA78B3">
        <w:rPr>
          <w:rFonts w:ascii="Aptos" w:eastAsia="Aptos" w:hAnsi="Aptos" w:cs="Aptos"/>
        </w:rPr>
        <w:t xml:space="preserve"> </w:t>
      </w:r>
      <w:r w:rsidR="004816E8">
        <w:rPr>
          <w:rFonts w:ascii="Aptos" w:eastAsia="Aptos" w:hAnsi="Aptos" w:cs="Aptos"/>
        </w:rPr>
        <w:t>respondent</w:t>
      </w:r>
      <w:r w:rsidR="000304A8">
        <w:rPr>
          <w:rFonts w:ascii="Aptos" w:eastAsia="Aptos" w:hAnsi="Aptos" w:cs="Aptos"/>
        </w:rPr>
        <w:t>s</w:t>
      </w:r>
      <w:r w:rsidR="004816E8">
        <w:rPr>
          <w:rFonts w:ascii="Aptos" w:eastAsia="Aptos" w:hAnsi="Aptos" w:cs="Aptos"/>
        </w:rPr>
        <w:t xml:space="preserve"> commented</w:t>
      </w:r>
      <w:r w:rsidR="00CA78B3">
        <w:rPr>
          <w:rFonts w:ascii="Aptos" w:eastAsia="Aptos" w:hAnsi="Aptos" w:cs="Aptos"/>
        </w:rPr>
        <w:t xml:space="preserve"> </w:t>
      </w:r>
      <w:r w:rsidR="000304A8">
        <w:rPr>
          <w:rFonts w:ascii="Aptos" w:eastAsia="Aptos" w:hAnsi="Aptos" w:cs="Aptos"/>
        </w:rPr>
        <w:t xml:space="preserve">in </w:t>
      </w:r>
      <w:r w:rsidR="00CA78B3">
        <w:rPr>
          <w:rFonts w:ascii="Aptos" w:eastAsia="Aptos" w:hAnsi="Aptos" w:cs="Aptos"/>
        </w:rPr>
        <w:t xml:space="preserve">response to </w:t>
      </w:r>
      <w:r w:rsidR="004816E8">
        <w:rPr>
          <w:rFonts w:ascii="Aptos" w:eastAsia="Aptos" w:hAnsi="Aptos" w:cs="Aptos"/>
        </w:rPr>
        <w:t>our</w:t>
      </w:r>
      <w:r w:rsidR="00CA78B3">
        <w:rPr>
          <w:rFonts w:ascii="Aptos" w:eastAsia="Aptos" w:hAnsi="Aptos" w:cs="Aptos"/>
        </w:rPr>
        <w:t xml:space="preserve"> survey:</w:t>
      </w:r>
    </w:p>
    <w:p w14:paraId="297A350D" w14:textId="5ABA6697" w:rsidR="00CA78B3" w:rsidRDefault="00CA78B3" w:rsidP="00D86F0E">
      <w:pPr>
        <w:pStyle w:val="ListParagraph"/>
        <w:numPr>
          <w:ilvl w:val="0"/>
          <w:numId w:val="44"/>
        </w:numPr>
      </w:pPr>
      <w:r w:rsidRPr="00D86F0E">
        <w:rPr>
          <w:i/>
          <w:iCs/>
        </w:rPr>
        <w:t xml:space="preserve">The concept of 'influence and control' is not well understood and when it is, useful steps to address the shortfall are avoided on the basis that 'no-one else is doing this'.   Lead PCBUs are good at imposing expectations downstream but there is little to no effort in ensuring that downstream PCBUs understand their duties and the 'why'.  In the contract space, </w:t>
      </w:r>
      <w:r w:rsidR="004816E8" w:rsidRPr="00D86F0E">
        <w:rPr>
          <w:i/>
          <w:iCs/>
        </w:rPr>
        <w:t>I</w:t>
      </w:r>
      <w:r w:rsidRPr="00D86F0E">
        <w:rPr>
          <w:i/>
          <w:iCs/>
        </w:rPr>
        <w:t xml:space="preserve"> often see very robust H&amp;S expectations imposed downstream, which are often not lawful, and always never monitored.  This is leaving downstream PCBUs bewildered about what they should be doing and they make it up.  They often do not have the confidence to consult upstream for fear of losing the contract.  No-one wants to open that can of worms</w:t>
      </w:r>
      <w:r w:rsidRPr="00CA78B3">
        <w:t xml:space="preserve">.  </w:t>
      </w:r>
    </w:p>
    <w:p w14:paraId="2EE986E7" w14:textId="7E2FA243" w:rsidR="00D86F0E" w:rsidRPr="00F20DB2" w:rsidRDefault="00D86F0E" w:rsidP="00D86F0E">
      <w:pPr>
        <w:pStyle w:val="ListParagraph"/>
        <w:numPr>
          <w:ilvl w:val="0"/>
          <w:numId w:val="44"/>
        </w:numPr>
        <w:rPr>
          <w:i/>
          <w:iCs/>
        </w:rPr>
      </w:pPr>
      <w:r w:rsidRPr="00F20DB2">
        <w:rPr>
          <w:i/>
          <w:iCs/>
        </w:rPr>
        <w:t>One small sentence is responsible for a massive amount of conversation. All over the work influence. It has a very large scope. I feel that the intention/inclusion of this wording was to prevent the delegation of H&amp;S duties to external parties. I agree with the intention but the outcome for us ends up being a legally binded document in the form of an Memorandum of Understanding (MOU). This is expensive, requires lawyers, senior leaders and takes a load of time and effort. We consistent have conversations within our team about what should be done and how. We seldom have answers and we have an internal legal team at our disposal. The Zespri case law is unhelpful as precedent. Examples of documentation that establishes what Work</w:t>
      </w:r>
      <w:r w:rsidR="002B0642">
        <w:rPr>
          <w:i/>
          <w:iCs/>
        </w:rPr>
        <w:t>S</w:t>
      </w:r>
      <w:r w:rsidRPr="00F20DB2">
        <w:rPr>
          <w:i/>
          <w:iCs/>
        </w:rPr>
        <w:t>afe deems acceptable would be much appreciated.</w:t>
      </w:r>
    </w:p>
    <w:p w14:paraId="56C69E38" w14:textId="77777777" w:rsidR="00431E1E" w:rsidRPr="00431E1E" w:rsidRDefault="00431E1E" w:rsidP="00431E1E"/>
    <w:p w14:paraId="35A415A7" w14:textId="26330699" w:rsidR="002B0642" w:rsidRDefault="00E83DB5" w:rsidP="008F40E8">
      <w:pPr>
        <w:tabs>
          <w:tab w:val="left" w:pos="977"/>
        </w:tabs>
        <w:spacing w:after="160" w:line="257" w:lineRule="auto"/>
        <w:rPr>
          <w:rFonts w:ascii="Aptos" w:eastAsia="Aptos" w:hAnsi="Aptos" w:cs="Aptos"/>
        </w:rPr>
      </w:pPr>
      <w:r>
        <w:rPr>
          <w:rFonts w:ascii="Aptos" w:eastAsia="Aptos" w:hAnsi="Aptos" w:cs="Aptos"/>
        </w:rPr>
        <w:t xml:space="preserve">We have seen a number of </w:t>
      </w:r>
      <w:r w:rsidR="006F0F9C">
        <w:rPr>
          <w:rFonts w:ascii="Aptos" w:eastAsia="Aptos" w:hAnsi="Aptos" w:cs="Aptos"/>
        </w:rPr>
        <w:t xml:space="preserve">defended hearings where the scope of shared duties were found by the Courts to be narrower than WorkSafe advanced (such as </w:t>
      </w:r>
      <w:r w:rsidR="000F3CEA" w:rsidRPr="000F3CEA">
        <w:rPr>
          <w:rFonts w:ascii="Aptos" w:eastAsia="Aptos" w:hAnsi="Aptos" w:cs="Aptos"/>
          <w:i/>
          <w:iCs/>
        </w:rPr>
        <w:t>WorkSafe v Athenberry Holdings Limited</w:t>
      </w:r>
      <w:r w:rsidR="000F3CEA" w:rsidRPr="000F3CEA">
        <w:rPr>
          <w:rFonts w:ascii="Aptos" w:eastAsia="Aptos" w:hAnsi="Aptos" w:cs="Aptos"/>
        </w:rPr>
        <w:t xml:space="preserve"> [2018] NZDC 9987</w:t>
      </w:r>
      <w:r w:rsidR="0085257A">
        <w:rPr>
          <w:rFonts w:ascii="Aptos" w:eastAsia="Aptos" w:hAnsi="Aptos" w:cs="Aptos"/>
        </w:rPr>
        <w:t xml:space="preserve"> aka</w:t>
      </w:r>
      <w:r w:rsidR="000F3CEA">
        <w:rPr>
          <w:rFonts w:ascii="Aptos" w:eastAsia="Aptos" w:hAnsi="Aptos" w:cs="Aptos"/>
        </w:rPr>
        <w:t xml:space="preserve"> the Ze</w:t>
      </w:r>
      <w:r w:rsidR="00AE5C7B">
        <w:rPr>
          <w:rFonts w:ascii="Aptos" w:eastAsia="Aptos" w:hAnsi="Aptos" w:cs="Aptos"/>
        </w:rPr>
        <w:t>s</w:t>
      </w:r>
      <w:r w:rsidR="000F3CEA">
        <w:rPr>
          <w:rFonts w:ascii="Aptos" w:eastAsia="Aptos" w:hAnsi="Aptos" w:cs="Aptos"/>
        </w:rPr>
        <w:t>pri case referred in the comment above</w:t>
      </w:r>
      <w:r w:rsidR="00AE5C7B">
        <w:rPr>
          <w:rFonts w:ascii="Aptos" w:eastAsia="Aptos" w:hAnsi="Aptos" w:cs="Aptos"/>
        </w:rPr>
        <w:t xml:space="preserve">, </w:t>
      </w:r>
      <w:r w:rsidR="000F3CEA">
        <w:rPr>
          <w:rFonts w:ascii="Aptos" w:eastAsia="Aptos" w:hAnsi="Aptos" w:cs="Aptos"/>
        </w:rPr>
        <w:t xml:space="preserve">and </w:t>
      </w:r>
      <w:r w:rsidR="00AE5C7B" w:rsidRPr="00AE5C7B">
        <w:rPr>
          <w:rFonts w:ascii="Aptos" w:eastAsia="Aptos" w:hAnsi="Aptos" w:cs="Aptos"/>
          <w:i/>
          <w:iCs/>
        </w:rPr>
        <w:t>WorkSafe New Zealand v National Emergency Management Agency</w:t>
      </w:r>
      <w:r w:rsidR="00AE5C7B" w:rsidRPr="00AE5C7B">
        <w:rPr>
          <w:rFonts w:ascii="Aptos" w:eastAsia="Aptos" w:hAnsi="Aptos" w:cs="Aptos"/>
        </w:rPr>
        <w:t xml:space="preserve"> [2022] NZDC 8020</w:t>
      </w:r>
      <w:r w:rsidR="00AE5C7B">
        <w:rPr>
          <w:rFonts w:ascii="Aptos" w:eastAsia="Aptos" w:hAnsi="Aptos" w:cs="Aptos"/>
        </w:rPr>
        <w:t xml:space="preserve"> </w:t>
      </w:r>
      <w:r w:rsidR="00AE5C7B" w:rsidRPr="00AE5C7B">
        <w:rPr>
          <w:rFonts w:ascii="Aptos" w:eastAsia="Aptos" w:hAnsi="Aptos" w:cs="Aptos"/>
        </w:rPr>
        <w:t>[4 May 2022]</w:t>
      </w:r>
      <w:r w:rsidR="00AE5C7B">
        <w:rPr>
          <w:rFonts w:ascii="Aptos" w:eastAsia="Aptos" w:hAnsi="Aptos" w:cs="Aptos"/>
        </w:rPr>
        <w:t>).</w:t>
      </w:r>
    </w:p>
    <w:p w14:paraId="68359826" w14:textId="12C24EF1" w:rsidR="0085257A" w:rsidRDefault="0085257A" w:rsidP="008F40E8">
      <w:pPr>
        <w:tabs>
          <w:tab w:val="left" w:pos="977"/>
        </w:tabs>
        <w:spacing w:after="160" w:line="257" w:lineRule="auto"/>
        <w:rPr>
          <w:rFonts w:ascii="Aptos" w:eastAsia="Aptos" w:hAnsi="Aptos" w:cs="Aptos"/>
        </w:rPr>
      </w:pPr>
      <w:r>
        <w:rPr>
          <w:rFonts w:ascii="Aptos" w:eastAsia="Aptos" w:hAnsi="Aptos" w:cs="Aptos"/>
        </w:rPr>
        <w:t xml:space="preserve">Our concern is that </w:t>
      </w:r>
      <w:r w:rsidR="00B232F5">
        <w:rPr>
          <w:rFonts w:ascii="Aptos" w:eastAsia="Aptos" w:hAnsi="Aptos" w:cs="Aptos"/>
        </w:rPr>
        <w:t>the application of the law relating to shared duties</w:t>
      </w:r>
      <w:r w:rsidR="000304A8">
        <w:rPr>
          <w:rFonts w:ascii="Aptos" w:eastAsia="Aptos" w:hAnsi="Aptos" w:cs="Aptos"/>
        </w:rPr>
        <w:t>,</w:t>
      </w:r>
      <w:r w:rsidR="00B232F5">
        <w:rPr>
          <w:rFonts w:ascii="Aptos" w:eastAsia="Aptos" w:hAnsi="Aptos" w:cs="Aptos"/>
        </w:rPr>
        <w:t xml:space="preserve"> including the control and influence test (as applied in the </w:t>
      </w:r>
      <w:r w:rsidR="00B232F5" w:rsidRPr="00B232F5">
        <w:rPr>
          <w:rFonts w:ascii="Aptos" w:eastAsia="Aptos" w:hAnsi="Aptos" w:cs="Aptos"/>
          <w:i/>
          <w:iCs/>
        </w:rPr>
        <w:t>Athenberry</w:t>
      </w:r>
      <w:r w:rsidR="00B232F5">
        <w:rPr>
          <w:rFonts w:ascii="Aptos" w:eastAsia="Aptos" w:hAnsi="Aptos" w:cs="Aptos"/>
        </w:rPr>
        <w:t xml:space="preserve"> case) and the duties of PCBUs to people who are not workers (as a</w:t>
      </w:r>
      <w:r w:rsidR="005A0EBE">
        <w:rPr>
          <w:rFonts w:ascii="Aptos" w:eastAsia="Aptos" w:hAnsi="Aptos" w:cs="Aptos"/>
        </w:rPr>
        <w:t>pplied in the NEMA case)</w:t>
      </w:r>
      <w:r w:rsidR="000304A8">
        <w:rPr>
          <w:rFonts w:ascii="Aptos" w:eastAsia="Aptos" w:hAnsi="Aptos" w:cs="Aptos"/>
        </w:rPr>
        <w:t>,</w:t>
      </w:r>
      <w:r w:rsidR="005A0EBE">
        <w:rPr>
          <w:rFonts w:ascii="Aptos" w:eastAsia="Aptos" w:hAnsi="Aptos" w:cs="Aptos"/>
        </w:rPr>
        <w:t xml:space="preserve"> may have limited the scope of shared duties.  We badly need either clearer guidance by way of amendments to the Act or regulations or precedent case law (WorkSafe did not appeal either </w:t>
      </w:r>
      <w:r w:rsidR="005A0EBE" w:rsidRPr="005A0EBE">
        <w:rPr>
          <w:rFonts w:ascii="Aptos" w:eastAsia="Aptos" w:hAnsi="Aptos" w:cs="Aptos"/>
          <w:i/>
          <w:iCs/>
        </w:rPr>
        <w:t>Athenberry</w:t>
      </w:r>
      <w:r w:rsidR="005A0EBE">
        <w:rPr>
          <w:rFonts w:ascii="Aptos" w:eastAsia="Aptos" w:hAnsi="Aptos" w:cs="Aptos"/>
        </w:rPr>
        <w:t xml:space="preserve"> or </w:t>
      </w:r>
      <w:r w:rsidR="005A0EBE" w:rsidRPr="005A0EBE">
        <w:rPr>
          <w:rFonts w:ascii="Aptos" w:eastAsia="Aptos" w:hAnsi="Aptos" w:cs="Aptos"/>
          <w:i/>
          <w:iCs/>
        </w:rPr>
        <w:t>NEMA</w:t>
      </w:r>
      <w:r w:rsidR="005A0EBE">
        <w:rPr>
          <w:rFonts w:ascii="Aptos" w:eastAsia="Aptos" w:hAnsi="Aptos" w:cs="Aptos"/>
        </w:rPr>
        <w:t>).</w:t>
      </w:r>
    </w:p>
    <w:p w14:paraId="207FB2DF" w14:textId="186DDFD8" w:rsidR="008F40E8" w:rsidRPr="000C5429" w:rsidRDefault="005A0EBE" w:rsidP="000C5429">
      <w:pPr>
        <w:tabs>
          <w:tab w:val="left" w:pos="977"/>
        </w:tabs>
        <w:spacing w:after="160" w:line="257" w:lineRule="auto"/>
        <w:rPr>
          <w:rFonts w:ascii="Aptos" w:eastAsia="Aptos" w:hAnsi="Aptos" w:cs="Aptos"/>
        </w:rPr>
      </w:pPr>
      <w:r w:rsidRPr="005A0EBE">
        <w:rPr>
          <w:rFonts w:ascii="Aptos" w:eastAsia="Aptos" w:hAnsi="Aptos" w:cs="Aptos"/>
          <w:u w:val="single"/>
        </w:rPr>
        <w:t xml:space="preserve">We recommend that greater clarity is provided on shared duties.  </w:t>
      </w:r>
      <w:r w:rsidRPr="000C5429">
        <w:rPr>
          <w:rFonts w:ascii="Aptos" w:eastAsia="Aptos" w:hAnsi="Aptos" w:cs="Aptos"/>
        </w:rPr>
        <w:t>We are agnostic as to the best way to do this.</w:t>
      </w:r>
    </w:p>
    <w:p w14:paraId="7051036B" w14:textId="45989270" w:rsidR="008F40E8" w:rsidRPr="000C5429" w:rsidRDefault="00AB70A2" w:rsidP="000C5429">
      <w:pPr>
        <w:pStyle w:val="Heading2"/>
        <w:rPr>
          <w:b/>
          <w:bCs/>
        </w:rPr>
      </w:pPr>
      <w:bookmarkStart w:id="10" w:name="_Toc177397968"/>
      <w:r>
        <w:rPr>
          <w:b/>
          <w:bCs/>
        </w:rPr>
        <w:t>F</w:t>
      </w:r>
      <w:r w:rsidR="008F40E8" w:rsidRPr="000C5429">
        <w:rPr>
          <w:b/>
          <w:bCs/>
        </w:rPr>
        <w:t>ines and penalties</w:t>
      </w:r>
      <w:bookmarkEnd w:id="10"/>
    </w:p>
    <w:p w14:paraId="6EFD1608" w14:textId="0271C2DE" w:rsidR="008F40E8" w:rsidRPr="00227ED6" w:rsidRDefault="00260E7E" w:rsidP="008F40E8">
      <w:pPr>
        <w:rPr>
          <w:rFonts w:ascii="Aptos" w:eastAsia="Aptos" w:hAnsi="Aptos" w:cs="Aptos"/>
        </w:rPr>
      </w:pPr>
      <w:r w:rsidRPr="00227ED6">
        <w:rPr>
          <w:rFonts w:ascii="Aptos" w:eastAsia="Aptos" w:hAnsi="Aptos" w:cs="Aptos"/>
        </w:rPr>
        <w:t>When the Health and Safety at Work Act 2015 was passed it represented a six-fold uplift in maximum fines over the Health and Safety in Employment Act 1995</w:t>
      </w:r>
      <w:r w:rsidR="008F40E8" w:rsidRPr="00227ED6">
        <w:rPr>
          <w:rFonts w:eastAsiaTheme="minorEastAsia"/>
        </w:rPr>
        <w:t>.</w:t>
      </w:r>
      <w:r w:rsidR="00D72E77" w:rsidRPr="00227ED6">
        <w:rPr>
          <w:rFonts w:eastAsiaTheme="minorEastAsia"/>
        </w:rPr>
        <w:t xml:space="preserve">  </w:t>
      </w:r>
      <w:r w:rsidR="00746EB8" w:rsidRPr="00227ED6">
        <w:rPr>
          <w:rFonts w:eastAsiaTheme="minorEastAsia"/>
        </w:rPr>
        <w:t>However</w:t>
      </w:r>
      <w:r w:rsidR="000304A8">
        <w:rPr>
          <w:rFonts w:eastAsiaTheme="minorEastAsia"/>
        </w:rPr>
        <w:t>,</w:t>
      </w:r>
      <w:r w:rsidR="00746EB8" w:rsidRPr="00227ED6">
        <w:rPr>
          <w:rFonts w:eastAsiaTheme="minorEastAsia"/>
        </w:rPr>
        <w:t xml:space="preserve"> sentencing for significant health and safety breaches lags behind comparable jurisdictions due primarily to the application of the factors in s 9 of the Sentencing Act </w:t>
      </w:r>
      <w:r w:rsidR="008A5E45" w:rsidRPr="00227ED6">
        <w:rPr>
          <w:rFonts w:eastAsiaTheme="minorEastAsia"/>
        </w:rPr>
        <w:t>2002.</w:t>
      </w:r>
      <w:r w:rsidR="008A5E45" w:rsidRPr="00227ED6">
        <w:rPr>
          <w:rStyle w:val="FootnoteReference"/>
          <w:rFonts w:eastAsiaTheme="minorEastAsia"/>
        </w:rPr>
        <w:footnoteReference w:id="3"/>
      </w:r>
    </w:p>
    <w:p w14:paraId="7E431BFA" w14:textId="77777777" w:rsidR="008F40E8" w:rsidRPr="00227ED6" w:rsidRDefault="008F40E8" w:rsidP="008F40E8">
      <w:pPr>
        <w:rPr>
          <w:rFonts w:eastAsiaTheme="minorEastAsia"/>
        </w:rPr>
      </w:pPr>
    </w:p>
    <w:p w14:paraId="6F953563" w14:textId="1BE6C3E3" w:rsidR="008F40E8" w:rsidRPr="00227ED6" w:rsidRDefault="00F05F3D" w:rsidP="008F40E8">
      <w:pPr>
        <w:rPr>
          <w:rFonts w:ascii="Aptos" w:eastAsia="Aptos" w:hAnsi="Aptos" w:cs="Aptos"/>
        </w:rPr>
      </w:pPr>
      <w:r w:rsidRPr="00227ED6">
        <w:rPr>
          <w:rFonts w:eastAsiaTheme="minorEastAsia"/>
        </w:rPr>
        <w:t>O</w:t>
      </w:r>
      <w:r w:rsidR="008F40E8" w:rsidRPr="00227ED6">
        <w:rPr>
          <w:rFonts w:eastAsiaTheme="minorEastAsia"/>
        </w:rPr>
        <w:t>ne of the most significant calls for change as identified in our survey was in relation to fines and sentences where more than a third of respondents called for major improvement. The majority of comments suggested that fines or sentences needed to be increased to act as more of a deterrent.</w:t>
      </w:r>
    </w:p>
    <w:p w14:paraId="4A2E02A3" w14:textId="77777777" w:rsidR="008F40E8" w:rsidRPr="00227ED6" w:rsidRDefault="008F40E8" w:rsidP="008F40E8">
      <w:pPr>
        <w:rPr>
          <w:rFonts w:eastAsiaTheme="minorEastAsia"/>
        </w:rPr>
      </w:pPr>
    </w:p>
    <w:p w14:paraId="66C8E317" w14:textId="0D4810DC" w:rsidR="002B746E" w:rsidRPr="00227ED6" w:rsidRDefault="008F40E8" w:rsidP="008F40E8">
      <w:pPr>
        <w:spacing w:line="259" w:lineRule="auto"/>
        <w:rPr>
          <w:rFonts w:eastAsiaTheme="minorEastAsia"/>
        </w:rPr>
      </w:pPr>
      <w:r w:rsidRPr="00227ED6">
        <w:rPr>
          <w:rFonts w:eastAsiaTheme="minorEastAsia"/>
        </w:rPr>
        <w:t xml:space="preserve">The alternative or non-monetary orders provided for within the </w:t>
      </w:r>
      <w:r w:rsidR="00375600" w:rsidRPr="00227ED6">
        <w:rPr>
          <w:rFonts w:eastAsiaTheme="minorEastAsia"/>
        </w:rPr>
        <w:t xml:space="preserve">Health and Safety at Work </w:t>
      </w:r>
      <w:r w:rsidRPr="00227ED6">
        <w:rPr>
          <w:rFonts w:eastAsiaTheme="minorEastAsia"/>
        </w:rPr>
        <w:t>Act</w:t>
      </w:r>
      <w:r w:rsidR="00375600" w:rsidRPr="00227ED6">
        <w:rPr>
          <w:rFonts w:eastAsiaTheme="minorEastAsia"/>
        </w:rPr>
        <w:t xml:space="preserve"> 2015</w:t>
      </w:r>
      <w:r w:rsidRPr="00227ED6">
        <w:rPr>
          <w:rFonts w:eastAsiaTheme="minorEastAsia"/>
        </w:rPr>
        <w:t xml:space="preserve"> are rarely used </w:t>
      </w:r>
      <w:r w:rsidR="00375600" w:rsidRPr="00227ED6">
        <w:rPr>
          <w:rFonts w:eastAsiaTheme="minorEastAsia"/>
        </w:rPr>
        <w:t xml:space="preserve">by the </w:t>
      </w:r>
      <w:r w:rsidR="009306B1" w:rsidRPr="00227ED6">
        <w:rPr>
          <w:rFonts w:eastAsiaTheme="minorEastAsia"/>
        </w:rPr>
        <w:t>Judiciary</w:t>
      </w:r>
      <w:r w:rsidR="00375600" w:rsidRPr="00227ED6">
        <w:rPr>
          <w:rFonts w:eastAsiaTheme="minorEastAsia"/>
        </w:rPr>
        <w:t xml:space="preserve"> </w:t>
      </w:r>
      <w:r w:rsidRPr="00227ED6">
        <w:rPr>
          <w:rFonts w:eastAsiaTheme="minorEastAsia"/>
        </w:rPr>
        <w:t xml:space="preserve">with only a handful of cases involving adverse publicity orders, training orders, work project orders and court ordered enforceable undertakings since the Act was implemented. </w:t>
      </w:r>
    </w:p>
    <w:p w14:paraId="4E36D9C6" w14:textId="77777777" w:rsidR="008F40E8" w:rsidRPr="00227ED6" w:rsidRDefault="008F40E8" w:rsidP="008F40E8">
      <w:pPr>
        <w:spacing w:line="259" w:lineRule="auto"/>
        <w:rPr>
          <w:rFonts w:ascii="Aptos" w:eastAsia="Aptos" w:hAnsi="Aptos" w:cs="Aptos"/>
        </w:rPr>
      </w:pPr>
    </w:p>
    <w:p w14:paraId="294D52E7" w14:textId="04F30665" w:rsidR="008F40E8" w:rsidRPr="00227ED6" w:rsidRDefault="008F40E8" w:rsidP="008F40E8">
      <w:pPr>
        <w:spacing w:line="259" w:lineRule="auto"/>
      </w:pPr>
      <w:r w:rsidRPr="00227ED6">
        <w:rPr>
          <w:rFonts w:ascii="Aptos" w:eastAsia="Aptos" w:hAnsi="Aptos" w:cs="Aptos"/>
        </w:rPr>
        <w:t>Health and safety laws aim to ensure high safety standards and worker protection through two main components</w:t>
      </w:r>
      <w:r w:rsidR="00974D07">
        <w:rPr>
          <w:rFonts w:ascii="Aptos" w:eastAsia="Aptos" w:hAnsi="Aptos" w:cs="Aptos"/>
        </w:rPr>
        <w:t>,</w:t>
      </w:r>
      <w:r w:rsidRPr="00227ED6">
        <w:rPr>
          <w:rFonts w:ascii="Aptos" w:eastAsia="Aptos" w:hAnsi="Aptos" w:cs="Aptos"/>
        </w:rPr>
        <w:t xml:space="preserve"> namely detailed regulations that specify technical requirements and a primary duty that mandates employers to ensure, as far as reasonably practicable, the overall health and safety of workers.  </w:t>
      </w:r>
    </w:p>
    <w:p w14:paraId="167236D2" w14:textId="77777777" w:rsidR="008F40E8" w:rsidRPr="00227ED6" w:rsidRDefault="008F40E8" w:rsidP="008F40E8">
      <w:pPr>
        <w:spacing w:line="259" w:lineRule="auto"/>
        <w:rPr>
          <w:rFonts w:ascii="Aptos" w:eastAsia="Aptos" w:hAnsi="Aptos" w:cs="Aptos"/>
        </w:rPr>
      </w:pPr>
    </w:p>
    <w:p w14:paraId="36ADD408" w14:textId="77777777" w:rsidR="008F40E8" w:rsidRPr="00227ED6" w:rsidRDefault="008F40E8" w:rsidP="008F40E8">
      <w:pPr>
        <w:spacing w:line="259" w:lineRule="auto"/>
      </w:pPr>
      <w:r w:rsidRPr="00227ED6">
        <w:rPr>
          <w:rFonts w:ascii="Aptos" w:eastAsia="Aptos" w:hAnsi="Aptos" w:cs="Aptos"/>
        </w:rPr>
        <w:lastRenderedPageBreak/>
        <w:t xml:space="preserve">We believe that fines for regulatory offences remain too low as such, resulting in most cases being charged under primary duty of care rather than regulatory breaches. When fines for regulatory offences are perceived as inadequate, then a shift in preference to charge under the primary duty provisions results with the intent to achieve higher fines and more significant penalties rather than the reflection of a broader, more serious breach of the overall duty of care. </w:t>
      </w:r>
    </w:p>
    <w:p w14:paraId="45AC0428" w14:textId="77777777" w:rsidR="008F40E8" w:rsidRPr="00227ED6" w:rsidRDefault="008F40E8" w:rsidP="008F40E8">
      <w:pPr>
        <w:spacing w:line="259" w:lineRule="auto"/>
        <w:rPr>
          <w:rFonts w:ascii="Aptos" w:eastAsia="Aptos" w:hAnsi="Aptos" w:cs="Aptos"/>
        </w:rPr>
      </w:pPr>
    </w:p>
    <w:p w14:paraId="732856C8" w14:textId="77777777" w:rsidR="008F40E8" w:rsidRPr="00227ED6" w:rsidRDefault="008F40E8" w:rsidP="008F40E8">
      <w:pPr>
        <w:spacing w:line="259" w:lineRule="auto"/>
      </w:pPr>
      <w:r w:rsidRPr="00227ED6">
        <w:rPr>
          <w:rFonts w:ascii="Aptos" w:eastAsia="Aptos" w:hAnsi="Aptos" w:cs="Aptos"/>
        </w:rPr>
        <w:t>The current approach to charging practices indicates that the regulatory framework is not operating as originally intended, where specific regulatory breaches are supposed to be addressed through their respective penalties.</w:t>
      </w:r>
    </w:p>
    <w:p w14:paraId="3C0C5270" w14:textId="77777777" w:rsidR="0003360E" w:rsidRPr="00227ED6" w:rsidRDefault="0003360E" w:rsidP="008F40E8">
      <w:pPr>
        <w:spacing w:line="259" w:lineRule="auto"/>
        <w:rPr>
          <w:rFonts w:ascii="Aptos" w:eastAsia="Aptos" w:hAnsi="Aptos" w:cs="Aptos"/>
        </w:rPr>
      </w:pPr>
    </w:p>
    <w:p w14:paraId="6D963834" w14:textId="66007EC6" w:rsidR="008F40E8" w:rsidRPr="00227ED6" w:rsidRDefault="008F40E8" w:rsidP="008F40E8">
      <w:pPr>
        <w:spacing w:line="259" w:lineRule="auto"/>
      </w:pPr>
      <w:r w:rsidRPr="00227ED6">
        <w:rPr>
          <w:rFonts w:ascii="Aptos" w:eastAsia="Aptos" w:hAnsi="Aptos" w:cs="Aptos"/>
        </w:rPr>
        <w:t>This suggests a misalignment with the original intent of the health and safety laws. The laws were intended to operate with a balanced approach: specific regulations for detailed breaches and a primary duty for overarching failures. If regulatory fines are not fulfilling their role as effective deterrents, it may be necessary to reassess and potentially revise the penalty structures to ensure that they align with the law's intended operation and effectively promote workplace health and safety.</w:t>
      </w:r>
    </w:p>
    <w:p w14:paraId="36F72557" w14:textId="77777777" w:rsidR="008F40E8" w:rsidRPr="00227ED6" w:rsidRDefault="008F40E8" w:rsidP="008F40E8">
      <w:pPr>
        <w:spacing w:line="259" w:lineRule="auto"/>
        <w:rPr>
          <w:rFonts w:ascii="Aptos" w:eastAsia="Aptos" w:hAnsi="Aptos" w:cs="Aptos"/>
        </w:rPr>
      </w:pPr>
    </w:p>
    <w:p w14:paraId="42605D96" w14:textId="75918EB9" w:rsidR="008F40E8" w:rsidRPr="00227ED6" w:rsidRDefault="008725A5" w:rsidP="008F40E8">
      <w:pPr>
        <w:spacing w:line="259" w:lineRule="auto"/>
      </w:pPr>
      <w:r>
        <w:rPr>
          <w:rFonts w:ascii="Aptos" w:eastAsia="Aptos" w:hAnsi="Aptos" w:cs="Aptos"/>
        </w:rPr>
        <w:t>The</w:t>
      </w:r>
      <w:r w:rsidR="008F40E8" w:rsidRPr="00227ED6">
        <w:rPr>
          <w:rFonts w:ascii="Aptos" w:eastAsia="Aptos" w:hAnsi="Aptos" w:cs="Aptos"/>
        </w:rPr>
        <w:t xml:space="preserve"> current approach</w:t>
      </w:r>
      <w:r>
        <w:rPr>
          <w:rFonts w:ascii="Aptos" w:eastAsia="Aptos" w:hAnsi="Aptos" w:cs="Aptos"/>
        </w:rPr>
        <w:t xml:space="preserve"> may have the consequence </w:t>
      </w:r>
      <w:r w:rsidR="008F40E8" w:rsidRPr="00227ED6">
        <w:rPr>
          <w:rFonts w:ascii="Aptos" w:eastAsia="Aptos" w:hAnsi="Aptos" w:cs="Aptos"/>
        </w:rPr>
        <w:t xml:space="preserve">that large corporates can treat penalties as a cost of doing business, and smaller businesses have it adjusted down to something they can manage. </w:t>
      </w:r>
    </w:p>
    <w:p w14:paraId="05F31B50" w14:textId="77777777" w:rsidR="008F40E8" w:rsidRPr="00227ED6" w:rsidRDefault="008F40E8" w:rsidP="008F40E8">
      <w:pPr>
        <w:spacing w:line="259" w:lineRule="auto"/>
        <w:rPr>
          <w:rFonts w:ascii="Aptos" w:eastAsia="Aptos" w:hAnsi="Aptos" w:cs="Aptos"/>
        </w:rPr>
      </w:pPr>
    </w:p>
    <w:p w14:paraId="301DF308" w14:textId="457FC881" w:rsidR="00DB1199" w:rsidRPr="00227ED6" w:rsidRDefault="00DB1199" w:rsidP="00DB1199">
      <w:pPr>
        <w:spacing w:line="259" w:lineRule="auto"/>
        <w:rPr>
          <w:rFonts w:eastAsiaTheme="minorEastAsia"/>
        </w:rPr>
      </w:pPr>
      <w:r w:rsidRPr="00227ED6">
        <w:rPr>
          <w:rFonts w:eastAsiaTheme="minorEastAsia"/>
        </w:rPr>
        <w:t xml:space="preserve">Puzzlingly, WorkSafe seems not to issue infringement notices (on the spot fines for strict liability offences). </w:t>
      </w:r>
      <w:r w:rsidR="000F6D3D" w:rsidRPr="00227ED6">
        <w:rPr>
          <w:rFonts w:eastAsiaTheme="minorEastAsia"/>
        </w:rPr>
        <w:t xml:space="preserve"> This is a major difference with Australia and </w:t>
      </w:r>
      <w:r w:rsidR="000F6D3D" w:rsidRPr="00227ED6">
        <w:rPr>
          <w:rFonts w:eastAsiaTheme="minorEastAsia"/>
          <w:u w:val="single"/>
        </w:rPr>
        <w:t>we encourage WorkSafe to rethink their pos</w:t>
      </w:r>
      <w:r w:rsidR="00975717">
        <w:rPr>
          <w:rFonts w:eastAsiaTheme="minorEastAsia"/>
          <w:u w:val="single"/>
        </w:rPr>
        <w:t>i</w:t>
      </w:r>
      <w:r w:rsidR="000F6D3D" w:rsidRPr="00227ED6">
        <w:rPr>
          <w:rFonts w:eastAsiaTheme="minorEastAsia"/>
          <w:u w:val="single"/>
        </w:rPr>
        <w:t>tion on the issuance of infringement notices</w:t>
      </w:r>
      <w:r w:rsidR="000F6D3D" w:rsidRPr="00227ED6">
        <w:rPr>
          <w:rFonts w:eastAsiaTheme="minorEastAsia"/>
        </w:rPr>
        <w:t>.</w:t>
      </w:r>
    </w:p>
    <w:p w14:paraId="449F58C9" w14:textId="77777777" w:rsidR="00DB1199" w:rsidRPr="00227ED6" w:rsidRDefault="00DB1199" w:rsidP="008F40E8">
      <w:pPr>
        <w:spacing w:line="259" w:lineRule="auto"/>
        <w:rPr>
          <w:rFonts w:ascii="Aptos" w:eastAsia="Aptos" w:hAnsi="Aptos" w:cs="Aptos"/>
        </w:rPr>
      </w:pPr>
    </w:p>
    <w:p w14:paraId="2E95A7FC" w14:textId="2B6A6E46" w:rsidR="009306B1" w:rsidRPr="00227ED6" w:rsidRDefault="00A97A08" w:rsidP="008F40E8">
      <w:pPr>
        <w:spacing w:line="259" w:lineRule="auto"/>
        <w:rPr>
          <w:rFonts w:ascii="Aptos" w:eastAsia="Aptos" w:hAnsi="Aptos" w:cs="Aptos"/>
          <w:u w:val="single"/>
        </w:rPr>
      </w:pPr>
      <w:r w:rsidRPr="00227ED6">
        <w:rPr>
          <w:rFonts w:ascii="Aptos" w:eastAsia="Aptos" w:hAnsi="Aptos" w:cs="Aptos"/>
          <w:u w:val="single"/>
        </w:rPr>
        <w:t xml:space="preserve">We </w:t>
      </w:r>
      <w:r w:rsidR="009306B1" w:rsidRPr="00227ED6">
        <w:rPr>
          <w:rFonts w:ascii="Aptos" w:eastAsia="Aptos" w:hAnsi="Aptos" w:cs="Aptos"/>
          <w:u w:val="single"/>
        </w:rPr>
        <w:t xml:space="preserve">recommend that the Government review sentences </w:t>
      </w:r>
      <w:r w:rsidR="008866EF" w:rsidRPr="00227ED6">
        <w:rPr>
          <w:rFonts w:ascii="Aptos" w:eastAsia="Aptos" w:hAnsi="Aptos" w:cs="Aptos"/>
          <w:u w:val="single"/>
        </w:rPr>
        <w:t xml:space="preserve">and sentencing for offences </w:t>
      </w:r>
      <w:r w:rsidR="009306B1" w:rsidRPr="00227ED6">
        <w:rPr>
          <w:rFonts w:ascii="Aptos" w:eastAsia="Aptos" w:hAnsi="Aptos" w:cs="Aptos"/>
          <w:u w:val="single"/>
        </w:rPr>
        <w:t>under the Health and Safety at Work Act 2015 including:</w:t>
      </w:r>
    </w:p>
    <w:p w14:paraId="01974E0E" w14:textId="6018AC5A" w:rsidR="00A97A08" w:rsidRPr="00227ED6" w:rsidRDefault="009306B1" w:rsidP="009306B1">
      <w:pPr>
        <w:pStyle w:val="ListParagraph"/>
        <w:numPr>
          <w:ilvl w:val="0"/>
          <w:numId w:val="45"/>
        </w:numPr>
        <w:spacing w:line="259" w:lineRule="auto"/>
        <w:rPr>
          <w:rFonts w:ascii="Aptos" w:eastAsia="Aptos" w:hAnsi="Aptos" w:cs="Aptos"/>
          <w:u w:val="single"/>
        </w:rPr>
      </w:pPr>
      <w:r w:rsidRPr="00227ED6">
        <w:rPr>
          <w:rFonts w:ascii="Aptos" w:eastAsia="Aptos" w:hAnsi="Aptos" w:cs="Aptos"/>
          <w:u w:val="single"/>
        </w:rPr>
        <w:t xml:space="preserve">Whether additional aggravating or mitigating factors should be considered alongside those in the Sentencing Act 2001 such as whether the breach caused death, </w:t>
      </w:r>
      <w:r w:rsidR="00CF555D" w:rsidRPr="00227ED6">
        <w:rPr>
          <w:rFonts w:ascii="Aptos" w:eastAsia="Aptos" w:hAnsi="Aptos" w:cs="Aptos"/>
          <w:u w:val="single"/>
        </w:rPr>
        <w:t>the total turnover of the company</w:t>
      </w:r>
    </w:p>
    <w:p w14:paraId="26E6DF9A" w14:textId="5DE94330" w:rsidR="00CF555D" w:rsidRPr="00227ED6" w:rsidRDefault="00CF555D" w:rsidP="009306B1">
      <w:pPr>
        <w:pStyle w:val="ListParagraph"/>
        <w:numPr>
          <w:ilvl w:val="0"/>
          <w:numId w:val="45"/>
        </w:numPr>
        <w:spacing w:line="259" w:lineRule="auto"/>
        <w:rPr>
          <w:rFonts w:ascii="Aptos" w:eastAsia="Aptos" w:hAnsi="Aptos" w:cs="Aptos"/>
          <w:u w:val="single"/>
        </w:rPr>
      </w:pPr>
      <w:r w:rsidRPr="00227ED6">
        <w:rPr>
          <w:rFonts w:ascii="Aptos" w:eastAsia="Aptos" w:hAnsi="Aptos" w:cs="Aptos"/>
          <w:u w:val="single"/>
        </w:rPr>
        <w:t>Whether fines should be uplifted in general or specifically in relation to regulatory offences</w:t>
      </w:r>
    </w:p>
    <w:p w14:paraId="4AF57A39" w14:textId="77777777" w:rsidR="008F40E8" w:rsidRDefault="008F40E8" w:rsidP="008F40E8">
      <w:pPr>
        <w:spacing w:line="259" w:lineRule="auto"/>
        <w:rPr>
          <w:rFonts w:eastAsiaTheme="minorEastAsia"/>
          <w:sz w:val="22"/>
          <w:szCs w:val="22"/>
        </w:rPr>
      </w:pPr>
    </w:p>
    <w:p w14:paraId="56768E58" w14:textId="64FD1B95" w:rsidR="008F40E8" w:rsidRPr="00036C1A" w:rsidRDefault="008866EF" w:rsidP="00036C1A">
      <w:pPr>
        <w:pStyle w:val="Heading2"/>
        <w:rPr>
          <w:b/>
          <w:bCs/>
        </w:rPr>
      </w:pPr>
      <w:bookmarkStart w:id="11" w:name="_Toc177397969"/>
      <w:r>
        <w:rPr>
          <w:b/>
          <w:bCs/>
        </w:rPr>
        <w:t>Recklessness</w:t>
      </w:r>
      <w:r w:rsidR="00036C1A">
        <w:rPr>
          <w:b/>
          <w:bCs/>
        </w:rPr>
        <w:t xml:space="preserve"> conduct</w:t>
      </w:r>
      <w:bookmarkEnd w:id="11"/>
    </w:p>
    <w:p w14:paraId="5A9C1B07" w14:textId="6C1D4032" w:rsidR="00590106" w:rsidRPr="00227ED6" w:rsidRDefault="00590106" w:rsidP="008F40E8">
      <w:pPr>
        <w:spacing w:line="259" w:lineRule="auto"/>
        <w:rPr>
          <w:rFonts w:ascii="Aptos" w:eastAsia="Aptos" w:hAnsi="Aptos" w:cs="Aptos"/>
        </w:rPr>
      </w:pPr>
      <w:r w:rsidRPr="00227ED6">
        <w:rPr>
          <w:rFonts w:ascii="Aptos" w:eastAsia="Aptos" w:hAnsi="Aptos" w:cs="Aptos"/>
        </w:rPr>
        <w:t>The most serious offence under the Health and Safety at Work Act 2015 is</w:t>
      </w:r>
      <w:r w:rsidR="00D557C3" w:rsidRPr="00227ED6">
        <w:rPr>
          <w:rFonts w:ascii="Aptos" w:eastAsia="Aptos" w:hAnsi="Aptos" w:cs="Aptos"/>
        </w:rPr>
        <w:t xml:space="preserve"> reckless conduct in respect to a duty (s 47).  This is punishable by a maximum sentence of $3 million for a </w:t>
      </w:r>
      <w:r w:rsidR="00D557C3" w:rsidRPr="00227ED6">
        <w:rPr>
          <w:rFonts w:ascii="Aptos" w:eastAsia="Aptos" w:hAnsi="Aptos" w:cs="Aptos"/>
        </w:rPr>
        <w:lastRenderedPageBreak/>
        <w:t xml:space="preserve">PCBU or </w:t>
      </w:r>
      <w:r w:rsidR="00B47DE3">
        <w:rPr>
          <w:rFonts w:ascii="Aptos" w:eastAsia="Aptos" w:hAnsi="Aptos" w:cs="Aptos"/>
        </w:rPr>
        <w:t>$600,000</w:t>
      </w:r>
      <w:r w:rsidR="00D557C3" w:rsidRPr="00227ED6">
        <w:rPr>
          <w:rFonts w:ascii="Aptos" w:eastAsia="Aptos" w:hAnsi="Aptos" w:cs="Aptos"/>
        </w:rPr>
        <w:t xml:space="preserve"> and </w:t>
      </w:r>
      <w:r w:rsidR="00036C1A" w:rsidRPr="00227ED6">
        <w:rPr>
          <w:rFonts w:ascii="Aptos" w:eastAsia="Aptos" w:hAnsi="Aptos" w:cs="Aptos"/>
        </w:rPr>
        <w:t>a term of imprisonment of five years for a natural person who is a PCBU or an officer of a PBCU.</w:t>
      </w:r>
    </w:p>
    <w:p w14:paraId="74CF3AF8" w14:textId="3123CB49" w:rsidR="00036C1A" w:rsidRPr="00227ED6" w:rsidRDefault="00036C1A" w:rsidP="008F40E8">
      <w:pPr>
        <w:spacing w:line="259" w:lineRule="auto"/>
        <w:rPr>
          <w:rFonts w:ascii="Aptos" w:eastAsia="Aptos" w:hAnsi="Aptos" w:cs="Aptos"/>
        </w:rPr>
      </w:pPr>
      <w:r w:rsidRPr="00227ED6">
        <w:rPr>
          <w:rFonts w:ascii="Aptos" w:eastAsia="Aptos" w:hAnsi="Aptos" w:cs="Aptos"/>
        </w:rPr>
        <w:br/>
        <w:t>However as Grant Nicholson and Elizabeth Wray have convincingly argued</w:t>
      </w:r>
      <w:r w:rsidR="007124C8" w:rsidRPr="00227ED6">
        <w:rPr>
          <w:rStyle w:val="FootnoteReference"/>
          <w:rFonts w:ascii="Aptos" w:eastAsia="Aptos" w:hAnsi="Aptos" w:cs="Aptos"/>
        </w:rPr>
        <w:footnoteReference w:id="4"/>
      </w:r>
      <w:r w:rsidRPr="00227ED6">
        <w:rPr>
          <w:rFonts w:ascii="Aptos" w:eastAsia="Aptos" w:hAnsi="Aptos" w:cs="Aptos"/>
        </w:rPr>
        <w:t xml:space="preserve"> </w:t>
      </w:r>
      <w:r w:rsidR="00580A47" w:rsidRPr="00227ED6">
        <w:rPr>
          <w:rFonts w:ascii="Aptos" w:eastAsia="Aptos" w:hAnsi="Aptos" w:cs="Aptos"/>
        </w:rPr>
        <w:t xml:space="preserve">the impact of the District and High Courts’ decisions in </w:t>
      </w:r>
      <w:r w:rsidR="00580A47" w:rsidRPr="00227ED6">
        <w:rPr>
          <w:rFonts w:ascii="Aptos" w:eastAsia="Aptos" w:hAnsi="Aptos" w:cs="Aptos"/>
          <w:i/>
          <w:iCs/>
        </w:rPr>
        <w:t>WorkSafe New Zealand v Waste Management NZ Limited</w:t>
      </w:r>
      <w:r w:rsidR="007124C8" w:rsidRPr="00227ED6">
        <w:rPr>
          <w:rStyle w:val="FootnoteReference"/>
          <w:rFonts w:ascii="Aptos" w:eastAsia="Aptos" w:hAnsi="Aptos" w:cs="Aptos"/>
          <w:i/>
          <w:iCs/>
        </w:rPr>
        <w:footnoteReference w:id="5"/>
      </w:r>
      <w:r w:rsidR="00580A47" w:rsidRPr="00227ED6">
        <w:rPr>
          <w:rFonts w:ascii="Aptos" w:eastAsia="Aptos" w:hAnsi="Aptos" w:cs="Aptos"/>
        </w:rPr>
        <w:t>[2021] NZDC</w:t>
      </w:r>
      <w:r w:rsidR="007124C8" w:rsidRPr="00227ED6">
        <w:rPr>
          <w:rFonts w:ascii="Aptos" w:eastAsia="Aptos" w:hAnsi="Aptos" w:cs="Aptos"/>
        </w:rPr>
        <w:t xml:space="preserve"> 12388 has made it difficult for </w:t>
      </w:r>
      <w:r w:rsidR="00066448" w:rsidRPr="00227ED6">
        <w:rPr>
          <w:rFonts w:ascii="Aptos" w:eastAsia="Aptos" w:hAnsi="Aptos" w:cs="Aptos"/>
        </w:rPr>
        <w:t xml:space="preserve">the Crown </w:t>
      </w:r>
      <w:r w:rsidR="007124C8" w:rsidRPr="00227ED6">
        <w:rPr>
          <w:rFonts w:ascii="Aptos" w:eastAsia="Aptos" w:hAnsi="Aptos" w:cs="Aptos"/>
        </w:rPr>
        <w:t xml:space="preserve">to successfully prosecute </w:t>
      </w:r>
      <w:r w:rsidR="00066448" w:rsidRPr="00227ED6">
        <w:rPr>
          <w:rFonts w:ascii="Aptos" w:eastAsia="Aptos" w:hAnsi="Aptos" w:cs="Aptos"/>
        </w:rPr>
        <w:t>s 47 offences because to succeed in establishing the offence, the Crown must show reckless</w:t>
      </w:r>
      <w:r w:rsidR="00913147" w:rsidRPr="00227ED6">
        <w:rPr>
          <w:rFonts w:ascii="Aptos" w:eastAsia="Aptos" w:hAnsi="Aptos" w:cs="Aptos"/>
        </w:rPr>
        <w:t>ness by an individual worker.</w:t>
      </w:r>
    </w:p>
    <w:p w14:paraId="2CB1BC12" w14:textId="77777777" w:rsidR="008F40E8" w:rsidRPr="00227ED6" w:rsidRDefault="008F40E8" w:rsidP="008F40E8">
      <w:pPr>
        <w:spacing w:line="259" w:lineRule="auto"/>
        <w:rPr>
          <w:rFonts w:ascii="Aptos" w:eastAsia="Aptos" w:hAnsi="Aptos" w:cs="Aptos"/>
        </w:rPr>
      </w:pPr>
    </w:p>
    <w:p w14:paraId="7343C26B" w14:textId="509F3272" w:rsidR="008F40E8" w:rsidRPr="00227ED6" w:rsidRDefault="008F40E8" w:rsidP="006E5213">
      <w:pPr>
        <w:spacing w:after="160" w:line="257" w:lineRule="auto"/>
        <w:rPr>
          <w:rFonts w:ascii="Aptos" w:eastAsia="Aptos" w:hAnsi="Aptos" w:cs="Aptos"/>
        </w:rPr>
      </w:pPr>
      <w:r w:rsidRPr="00227ED6">
        <w:rPr>
          <w:rFonts w:ascii="Aptos" w:eastAsia="Aptos" w:hAnsi="Aptos" w:cs="Aptos"/>
        </w:rPr>
        <w:t>We are unlikely to see its use except in exceptional cases where a single worker has sufficient knowledge and reckless intent to proceed in the face of risk, and it is hard to envisage a significant number of cases where workers will willingly admit to acting recklessly, and as soon as worker witnesses for the prosecution deny having relevant knowledge, regulators will rightly be concerned about the difficulty of proffering the necessary evidence to secure a conviction. If this proves to be the case, and we do not see regulators using charges under section 47 of the HSWA in appropriate cases against large organisations, then the deterrent value of the higher penalties available for reckless offending will effectively be neutered for those large organisations.</w:t>
      </w:r>
    </w:p>
    <w:p w14:paraId="523B2A15" w14:textId="751767D1" w:rsidR="00227ED6" w:rsidRPr="006E5213" w:rsidRDefault="00765FA3" w:rsidP="006E5213">
      <w:pPr>
        <w:spacing w:after="160" w:line="257" w:lineRule="auto"/>
      </w:pPr>
      <w:r w:rsidRPr="00554736">
        <w:rPr>
          <w:u w:val="single"/>
        </w:rPr>
        <w:t xml:space="preserve">We recommend that consideration is given to </w:t>
      </w:r>
      <w:r w:rsidR="00554736" w:rsidRPr="00554736">
        <w:rPr>
          <w:u w:val="single"/>
        </w:rPr>
        <w:t>moving the s 47 test from “recklessness” to “gross negligence</w:t>
      </w:r>
      <w:r w:rsidR="00554736">
        <w:t>.”</w:t>
      </w:r>
    </w:p>
    <w:p w14:paraId="74F18E90" w14:textId="77777777" w:rsidR="008F40E8" w:rsidRDefault="008F40E8" w:rsidP="008F40E8"/>
    <w:p w14:paraId="1E97232B" w14:textId="77777777" w:rsidR="00554736" w:rsidRDefault="00554736">
      <w:pPr>
        <w:rPr>
          <w:rFonts w:ascii="Lucida Sans" w:hAnsi="Lucida Sans" w:cs="Lucida Sans"/>
          <w:color w:val="04476E"/>
          <w:spacing w:val="-6"/>
          <w:sz w:val="28"/>
          <w:szCs w:val="28"/>
        </w:rPr>
      </w:pPr>
      <w:r>
        <w:rPr>
          <w:color w:val="04476E"/>
          <w:spacing w:val="-6"/>
          <w:sz w:val="28"/>
          <w:szCs w:val="28"/>
        </w:rPr>
        <w:br w:type="page"/>
      </w:r>
    </w:p>
    <w:p w14:paraId="384F575E" w14:textId="4B3D115A" w:rsidR="00444452" w:rsidRPr="00554736" w:rsidRDefault="00AB70A2" w:rsidP="00554736">
      <w:pPr>
        <w:pStyle w:val="BodyText"/>
        <w:spacing w:line="400" w:lineRule="exact"/>
        <w:outlineLvl w:val="0"/>
        <w:rPr>
          <w:rFonts w:asciiTheme="majorHAnsi" w:hAnsiTheme="majorHAnsi"/>
          <w:b/>
          <w:bCs/>
          <w:color w:val="04476E"/>
          <w:spacing w:val="-6"/>
          <w:sz w:val="36"/>
          <w:szCs w:val="36"/>
        </w:rPr>
      </w:pPr>
      <w:bookmarkStart w:id="12" w:name="_Toc177397970"/>
      <w:r w:rsidRPr="00554736">
        <w:rPr>
          <w:rFonts w:asciiTheme="majorHAnsi" w:hAnsiTheme="majorHAnsi"/>
          <w:b/>
          <w:bCs/>
          <w:color w:val="04476E"/>
          <w:spacing w:val="-6"/>
          <w:sz w:val="36"/>
          <w:szCs w:val="36"/>
        </w:rPr>
        <w:lastRenderedPageBreak/>
        <w:t>REGULATIONS</w:t>
      </w:r>
      <w:bookmarkEnd w:id="12"/>
    </w:p>
    <w:p w14:paraId="56D789DD" w14:textId="77777777" w:rsidR="00444452" w:rsidRPr="00E81281" w:rsidRDefault="00444452" w:rsidP="00554736">
      <w:pPr>
        <w:pStyle w:val="Heading2"/>
        <w:rPr>
          <w:b/>
          <w:bCs/>
        </w:rPr>
      </w:pPr>
      <w:bookmarkStart w:id="13" w:name="_Toc177397971"/>
      <w:r>
        <w:rPr>
          <w:b/>
          <w:bCs/>
        </w:rPr>
        <w:t>Progress on regulations under the Health and Safety at Work Act 2015 has stalled</w:t>
      </w:r>
      <w:bookmarkEnd w:id="13"/>
    </w:p>
    <w:p w14:paraId="25D0BF86" w14:textId="77777777" w:rsidR="00444452" w:rsidRDefault="00444452" w:rsidP="00444452">
      <w:r w:rsidRPr="00AB4458">
        <w:t>The Report of the Independent Taskforce on Workplace Health and Safety identified the regulatory framework as a significant issue (p</w:t>
      </w:r>
      <w:r>
        <w:t xml:space="preserve"> 11 of the Executive Report</w:t>
      </w:r>
      <w:r w:rsidRPr="00AB4458">
        <w:t>):</w:t>
      </w:r>
    </w:p>
    <w:p w14:paraId="54504228" w14:textId="77777777" w:rsidR="00444452" w:rsidRPr="00124FFF" w:rsidRDefault="00444452" w:rsidP="00444452">
      <w:pPr>
        <w:ind w:left="720"/>
        <w:rPr>
          <w:i/>
          <w:iCs/>
          <w:lang w:val="en-US"/>
        </w:rPr>
      </w:pPr>
      <w:r w:rsidRPr="00624A44">
        <w:rPr>
          <w:rFonts w:ascii="Gotham" w:eastAsia="Times New Roman" w:hAnsi="Gotham" w:cs="Times New Roman"/>
          <w:b/>
          <w:bCs/>
          <w:i/>
          <w:iCs/>
          <w:color w:val="72CEF4"/>
          <w:kern w:val="0"/>
          <w:sz w:val="18"/>
          <w:szCs w:val="18"/>
          <w:lang w:val="en-US"/>
          <w14:ligatures w14:val="none"/>
        </w:rPr>
        <w:t xml:space="preserve"> </w:t>
      </w:r>
      <w:r w:rsidRPr="00124FFF">
        <w:rPr>
          <w:b/>
          <w:bCs/>
          <w:i/>
          <w:iCs/>
          <w:lang w:val="en-US"/>
        </w:rPr>
        <w:t xml:space="preserve">Confusing regulation: </w:t>
      </w:r>
      <w:r w:rsidRPr="00124FFF">
        <w:rPr>
          <w:i/>
          <w:iCs/>
          <w:lang w:val="en-US"/>
        </w:rPr>
        <w:t xml:space="preserve">The system currently fails to make clear expectations of regulated entities and duty holders, and the regulator does not make compliance easy for the vast majority who want to comply. sanctions for those who intentionally, or through neglect, break the law are not adequate. The framework is confusing with multiple pieces of legislation, blending hazard- and risk-management  specifications, falling across overlapping and ambiguous jurisdictional boundaries. There is a lack of coordination between agencies and gaps in coverage. </w:t>
      </w:r>
    </w:p>
    <w:p w14:paraId="2606E781" w14:textId="77777777" w:rsidR="00444452" w:rsidRPr="00AB4458" w:rsidRDefault="00444452" w:rsidP="00444452">
      <w:r w:rsidRPr="00AB4458">
        <w:t xml:space="preserve">  </w:t>
      </w:r>
    </w:p>
    <w:p w14:paraId="71EBF3B6" w14:textId="3934BB12" w:rsidR="00444452" w:rsidRPr="00AB4458" w:rsidRDefault="00444452" w:rsidP="00444452">
      <w:r w:rsidRPr="00AB4458">
        <w:t xml:space="preserve">A suite of </w:t>
      </w:r>
      <w:r>
        <w:t xml:space="preserve">ten </w:t>
      </w:r>
      <w:r w:rsidRPr="00AB4458">
        <w:t>new regulations were progressed contemporaneously with the Health and Safety Reform Bill (which became the Health and Safety at Work Act 2015)</w:t>
      </w:r>
      <w:r w:rsidR="00825819">
        <w:t xml:space="preserve">. These </w:t>
      </w:r>
      <w:r w:rsidRPr="00AB4458">
        <w:t xml:space="preserve">regulations were </w:t>
      </w:r>
      <w:r>
        <w:t>ultimately passed in 2016 and 2017.</w:t>
      </w:r>
    </w:p>
    <w:p w14:paraId="03F181A2" w14:textId="77777777" w:rsidR="00444452" w:rsidRPr="00AB4458" w:rsidRDefault="00444452" w:rsidP="00444452"/>
    <w:p w14:paraId="6306E8B5" w14:textId="77777777" w:rsidR="00444452" w:rsidRDefault="00444452" w:rsidP="00444452">
      <w:r w:rsidRPr="00AB4458">
        <w:t>A second phase of regulations was planned</w:t>
      </w:r>
      <w:r>
        <w:t xml:space="preserve"> to progress covering three major areas:</w:t>
      </w:r>
    </w:p>
    <w:p w14:paraId="1B1A6530" w14:textId="77777777" w:rsidR="00444452" w:rsidRPr="00AB4458" w:rsidRDefault="00444452" w:rsidP="00444452">
      <w:pPr>
        <w:pStyle w:val="ListParagraph"/>
        <w:numPr>
          <w:ilvl w:val="0"/>
          <w:numId w:val="38"/>
        </w:numPr>
      </w:pPr>
      <w:r w:rsidRPr="00AB4458">
        <w:t>Plant</w:t>
      </w:r>
      <w:r>
        <w:t>, s</w:t>
      </w:r>
      <w:r w:rsidRPr="00AB4458">
        <w:t>tructures</w:t>
      </w:r>
      <w:r>
        <w:t xml:space="preserve"> and hazardous work at heights;</w:t>
      </w:r>
    </w:p>
    <w:p w14:paraId="5EA89876" w14:textId="77777777" w:rsidR="00444452" w:rsidRDefault="00444452" w:rsidP="00444452">
      <w:pPr>
        <w:pStyle w:val="ListParagraph"/>
        <w:numPr>
          <w:ilvl w:val="0"/>
          <w:numId w:val="26"/>
        </w:numPr>
      </w:pPr>
      <w:r w:rsidRPr="00AB4458">
        <w:t xml:space="preserve">Hazardous </w:t>
      </w:r>
      <w:r>
        <w:t>s</w:t>
      </w:r>
      <w:r w:rsidRPr="00AB4458">
        <w:t>ubstances</w:t>
      </w:r>
      <w:r>
        <w:t>; and</w:t>
      </w:r>
    </w:p>
    <w:p w14:paraId="04EDBF49" w14:textId="77777777" w:rsidR="00444452" w:rsidRPr="00AB4458" w:rsidRDefault="00444452" w:rsidP="00444452">
      <w:pPr>
        <w:pStyle w:val="ListParagraph"/>
        <w:numPr>
          <w:ilvl w:val="0"/>
          <w:numId w:val="26"/>
        </w:numPr>
      </w:pPr>
      <w:r>
        <w:t>Hazardous work.</w:t>
      </w:r>
    </w:p>
    <w:p w14:paraId="2FD013E2" w14:textId="77777777" w:rsidR="00444452" w:rsidRDefault="00444452" w:rsidP="00444452">
      <w:r>
        <w:t xml:space="preserve">  </w:t>
      </w:r>
    </w:p>
    <w:p w14:paraId="5C97A010" w14:textId="36F97396" w:rsidR="00444452" w:rsidRPr="008D0578" w:rsidRDefault="00444452" w:rsidP="00444452">
      <w:pPr>
        <w:rPr>
          <w:lang w:val="en-US"/>
        </w:rPr>
      </w:pPr>
      <w:r>
        <w:t xml:space="preserve">These regulations were intended </w:t>
      </w:r>
      <w:r w:rsidR="007E1298">
        <w:t xml:space="preserve">to </w:t>
      </w:r>
      <w:r>
        <w:t xml:space="preserve">follow hot on the heels of the </w:t>
      </w:r>
      <w:r w:rsidR="007E2848">
        <w:t>Phase 1</w:t>
      </w:r>
      <w:r>
        <w:t xml:space="preserve"> regulations.  MBIE’s 2015 Regulatory Impact Statement:</w:t>
      </w:r>
      <w:r w:rsidRPr="00B946F8">
        <w:t xml:space="preserve"> </w:t>
      </w:r>
      <w:r w:rsidRPr="00E81281">
        <w:rPr>
          <w:i/>
          <w:iCs/>
        </w:rPr>
        <w:t>Additional decisions to improve New Zealand’s Workplace Health and Safety Regulatory Framework</w:t>
      </w:r>
      <w:r w:rsidRPr="00E81281">
        <w:rPr>
          <w:b/>
          <w:bCs/>
          <w:i/>
          <w:iCs/>
          <w:lang w:val="en-US"/>
        </w:rPr>
        <w:t xml:space="preserve"> </w:t>
      </w:r>
      <w:r>
        <w:rPr>
          <w:lang w:val="en-US"/>
        </w:rPr>
        <w:t>stated that “</w:t>
      </w:r>
      <w:r w:rsidRPr="004844DF">
        <w:rPr>
          <w:lang w:val="en-US"/>
        </w:rPr>
        <w:t xml:space="preserve">The second phase will be developed and consulted on in a staged fashion over a period of two years, and is due to commence in the first half of </w:t>
      </w:r>
      <w:r>
        <w:rPr>
          <w:lang w:val="en-US"/>
        </w:rPr>
        <w:t>[2015]</w:t>
      </w:r>
      <w:r w:rsidRPr="004844DF">
        <w:rPr>
          <w:lang w:val="en-US"/>
        </w:rPr>
        <w:t>. Phase two will consider other work</w:t>
      </w:r>
      <w:r w:rsidRPr="004844DF">
        <w:rPr>
          <w:rFonts w:ascii="Cambria Math" w:hAnsi="Cambria Math" w:cs="Cambria Math"/>
          <w:lang w:val="en-US"/>
        </w:rPr>
        <w:t>‐</w:t>
      </w:r>
      <w:r w:rsidRPr="004844DF">
        <w:rPr>
          <w:lang w:val="en-US"/>
        </w:rPr>
        <w:t>related matters and is soon to be developed and consulted on</w:t>
      </w:r>
      <w:r>
        <w:rPr>
          <w:lang w:val="en-US"/>
        </w:rPr>
        <w:t>.”</w:t>
      </w:r>
    </w:p>
    <w:p w14:paraId="3FE47348" w14:textId="77777777" w:rsidR="00444452" w:rsidRDefault="00444452" w:rsidP="00444452"/>
    <w:p w14:paraId="3A277975" w14:textId="77777777" w:rsidR="00444452" w:rsidRDefault="00444452" w:rsidP="00444452">
      <w:r>
        <w:t xml:space="preserve">Progress on these regulations has stalled.  By the time of the </w:t>
      </w:r>
      <w:r w:rsidRPr="00291D62">
        <w:rPr>
          <w:i/>
          <w:iCs/>
        </w:rPr>
        <w:t>WorkSafe New Zealand Strategic Baseline Review</w:t>
      </w:r>
      <w:r>
        <w:t xml:space="preserve"> by SageBush in 2022, MBIE was saying that these areas would be progressed over “the next ten years” (p 121).  We understand that an exposure draft of the plant and structures regulations has been prepared but is now on hold pending the results of this review.</w:t>
      </w:r>
    </w:p>
    <w:p w14:paraId="176B515A" w14:textId="77777777" w:rsidR="00444452" w:rsidRDefault="00444452" w:rsidP="00444452"/>
    <w:p w14:paraId="0B1CA6FD" w14:textId="77777777" w:rsidR="00444452" w:rsidRDefault="00444452" w:rsidP="00444452">
      <w:r>
        <w:t>This regulatory void creates significant challenges.  For example:</w:t>
      </w:r>
    </w:p>
    <w:p w14:paraId="653F01B6" w14:textId="77777777" w:rsidR="00444452" w:rsidRDefault="00444452" w:rsidP="00444452">
      <w:pPr>
        <w:pStyle w:val="ListParagraph"/>
        <w:numPr>
          <w:ilvl w:val="0"/>
          <w:numId w:val="37"/>
        </w:numPr>
      </w:pPr>
      <w:r>
        <w:t xml:space="preserve">Parts of the Health and Safety in Employment Regulations 1995 remain in force (in anticipation of the plant and structures regulatory changes).  These include requirements that self-propelled mobile plant has suitable roll-over protection (r 20) but specifically excluded from these requirements are (among others) agricultural </w:t>
      </w:r>
      <w:r>
        <w:lastRenderedPageBreak/>
        <w:t>harvesters, tractors and machinery weighing less than 700 kg (which will include quad bikes)</w:t>
      </w:r>
    </w:p>
    <w:p w14:paraId="3D31A019" w14:textId="1AD4175D" w:rsidR="00444452" w:rsidRDefault="00444452" w:rsidP="00444452">
      <w:pPr>
        <w:pStyle w:val="ListParagraph"/>
        <w:numPr>
          <w:ilvl w:val="0"/>
          <w:numId w:val="37"/>
        </w:numPr>
      </w:pPr>
      <w:r>
        <w:t>Our hazardous substances regulations are riddled with references to outdated Australia / NZ Standards, do not line up with the Globally Harmonised System, and relate primarily to storage rather than how to use substances safely.</w:t>
      </w:r>
      <w:r>
        <w:rPr>
          <w:rStyle w:val="FootnoteReference"/>
        </w:rPr>
        <w:footnoteReference w:id="6"/>
      </w:r>
      <w:r>
        <w:t xml:space="preserve">   The problems with the Hazardous Substances Regulations were significant enough to warrant a regulatory tidy up (the</w:t>
      </w:r>
      <w:r w:rsidRPr="007074CB">
        <w:t xml:space="preserve"> </w:t>
      </w:r>
      <w:r>
        <w:t xml:space="preserve">Health and Safety at Work (Hazardous Substances) Amendment Regulations 2021) dedicated almost entirely to addressing errors in the regulations.  This </w:t>
      </w:r>
      <w:r w:rsidR="008725A5">
        <w:t>tidy up did not address the root challenges with the regulations</w:t>
      </w:r>
      <w:r>
        <w:t xml:space="preserve"> </w:t>
      </w:r>
    </w:p>
    <w:p w14:paraId="33D7B806" w14:textId="77777777" w:rsidR="00444452" w:rsidRDefault="00444452" w:rsidP="00444452"/>
    <w:p w14:paraId="75BB88F5" w14:textId="77777777" w:rsidR="00444452" w:rsidRDefault="00444452" w:rsidP="00444452">
      <w:r w:rsidRPr="00B53B90">
        <w:rPr>
          <w:u w:val="single"/>
        </w:rPr>
        <w:t>We recommend that MBIE is tasked with and resourced to complete the suite of Phase II Regulations (plant and structures, hazardous substances, hazardous work) so that these regulations are passed and in force by 1 January 2028.</w:t>
      </w:r>
      <w:r>
        <w:t xml:space="preserve">  This gives MBIE and the Government three years to complete work on badly needed regulations.</w:t>
      </w:r>
    </w:p>
    <w:p w14:paraId="3682037C" w14:textId="77777777" w:rsidR="00444452" w:rsidRDefault="00444452" w:rsidP="00444452"/>
    <w:p w14:paraId="34CC75DA" w14:textId="0C7E4E89" w:rsidR="00444452" w:rsidRDefault="00444452" w:rsidP="00444452">
      <w:r>
        <w:t>We recognise that there is more than one</w:t>
      </w:r>
      <w:r w:rsidR="004C6E60">
        <w:t xml:space="preserve"> possible approach</w:t>
      </w:r>
      <w:r>
        <w:t xml:space="preserve"> to regulating health and safety issues.  Some risks (particularly those which are novel) may be better suited to guidance or a combination of guidance and regulation in the first instance.  Decisions as to the best mix of regulation and guidance sit ultimately with the Minister for Workplace Relations and Safety and Cabinet.  But no decision at all is harming New Zealand workers and making it harder for businesses to know what to do.</w:t>
      </w:r>
    </w:p>
    <w:p w14:paraId="22D202D1" w14:textId="77777777" w:rsidR="00444452" w:rsidRDefault="00444452" w:rsidP="00444452"/>
    <w:p w14:paraId="6DC2BE80" w14:textId="77777777" w:rsidR="00444452" w:rsidRPr="00BE0073" w:rsidRDefault="00444452" w:rsidP="00124FFF">
      <w:pPr>
        <w:pStyle w:val="Heading2"/>
        <w:rPr>
          <w:b/>
          <w:bCs/>
        </w:rPr>
      </w:pPr>
      <w:bookmarkStart w:id="14" w:name="_Toc177397972"/>
      <w:r w:rsidRPr="00BE0073">
        <w:rPr>
          <w:b/>
          <w:bCs/>
        </w:rPr>
        <w:t>Regulatory inertia is hurting our ability to deal with new risks</w:t>
      </w:r>
      <w:bookmarkEnd w:id="14"/>
    </w:p>
    <w:p w14:paraId="631325A4" w14:textId="77777777" w:rsidR="00444452" w:rsidRDefault="00444452" w:rsidP="00444452">
      <w:r>
        <w:t xml:space="preserve">Ten years on from the introduction of the Model WHS Laws in 2008, the Australian Government commissioned a 2018 </w:t>
      </w:r>
      <w:hyperlink r:id="rId15" w:history="1">
        <w:r w:rsidRPr="006B2F20">
          <w:rPr>
            <w:rStyle w:val="Hyperlink"/>
          </w:rPr>
          <w:t>Review of the Model WHS laws</w:t>
        </w:r>
      </w:hyperlink>
      <w:r>
        <w:t xml:space="preserve"> by Marie Boland (‘the Boland Review).  The Boland review made a number of observations about the Model WHS  Act and regulations that are very likely applicable to New Zealand’s legal framework.  </w:t>
      </w:r>
    </w:p>
    <w:p w14:paraId="7097E90E" w14:textId="77777777" w:rsidR="00444452" w:rsidRDefault="00444452" w:rsidP="00444452"/>
    <w:p w14:paraId="0ED4AE2F" w14:textId="77777777" w:rsidR="00444452" w:rsidRDefault="00444452" w:rsidP="00444452">
      <w:r>
        <w:t>The Boland Review proposed a number of useful improvements to the Model WHS Regulations including:</w:t>
      </w:r>
    </w:p>
    <w:p w14:paraId="102AEA5D" w14:textId="77777777" w:rsidR="00444452" w:rsidRPr="00F6286D" w:rsidRDefault="00444452" w:rsidP="00444452">
      <w:pPr>
        <w:pStyle w:val="ListParagraph"/>
        <w:numPr>
          <w:ilvl w:val="0"/>
          <w:numId w:val="39"/>
        </w:numPr>
      </w:pPr>
      <w:r w:rsidRPr="00840A9B">
        <w:rPr>
          <w:lang w:val="en-US"/>
        </w:rPr>
        <w:t>Review</w:t>
      </w:r>
      <w:r>
        <w:rPr>
          <w:lang w:val="en-US"/>
        </w:rPr>
        <w:t xml:space="preserve"> of</w:t>
      </w:r>
      <w:r w:rsidRPr="00840A9B">
        <w:rPr>
          <w:lang w:val="en-US"/>
        </w:rPr>
        <w:t xml:space="preserve"> the model WHS Regulations and model Codes against agreed criteria on the purpose and content of the second and third tiers of the model WHS laws as they relate to the seven Australian Strategy priority industries</w:t>
      </w:r>
      <w:r>
        <w:rPr>
          <w:rStyle w:val="FootnoteReference"/>
          <w:lang w:val="en-US"/>
        </w:rPr>
        <w:footnoteReference w:id="7"/>
      </w:r>
      <w:r>
        <w:rPr>
          <w:lang w:val="en-US"/>
        </w:rPr>
        <w:t xml:space="preserve"> </w:t>
      </w:r>
    </w:p>
    <w:p w14:paraId="596DA87B" w14:textId="0C513B8A" w:rsidR="00444452" w:rsidRDefault="00444452" w:rsidP="00444452">
      <w:pPr>
        <w:pStyle w:val="ListParagraph"/>
        <w:numPr>
          <w:ilvl w:val="0"/>
          <w:numId w:val="39"/>
        </w:numPr>
      </w:pPr>
      <w:r>
        <w:rPr>
          <w:lang w:val="en-US"/>
        </w:rPr>
        <w:lastRenderedPageBreak/>
        <w:t>Development of dedicated regulations dealing with psychosocial harm.  This was acknowledged as a complex and poorly understood area in Australia. It is certainly also</w:t>
      </w:r>
      <w:r w:rsidR="008725A5">
        <w:rPr>
          <w:lang w:val="en-US"/>
        </w:rPr>
        <w:t xml:space="preserve"> the case </w:t>
      </w:r>
      <w:r>
        <w:rPr>
          <w:lang w:val="en-US"/>
        </w:rPr>
        <w:t>in New Zealand.</w:t>
      </w:r>
    </w:p>
    <w:p w14:paraId="5EE56773" w14:textId="77777777" w:rsidR="00444452" w:rsidRDefault="00444452" w:rsidP="00444452"/>
    <w:p w14:paraId="21BE8EC8" w14:textId="77777777" w:rsidR="00444452" w:rsidRDefault="00444452" w:rsidP="00444452">
      <w:r>
        <w:t>There are also significant categories of new and emerging risks (including old risks made more severe by new uses such as silica benchtops).</w:t>
      </w:r>
    </w:p>
    <w:p w14:paraId="267846A1" w14:textId="77777777" w:rsidR="00444452" w:rsidRDefault="00444452" w:rsidP="00444452"/>
    <w:p w14:paraId="1CAFE481" w14:textId="77777777" w:rsidR="00124FFF" w:rsidRDefault="00444452" w:rsidP="00444452">
      <w:pPr>
        <w:rPr>
          <w:b/>
          <w:bCs/>
        </w:rPr>
      </w:pPr>
      <w:r w:rsidRPr="00124FFF">
        <w:rPr>
          <w:u w:val="single"/>
        </w:rPr>
        <w:t>We recommend that alongside the passage of the Phase II regulations, MBIE should work with WorkSafe NZ, the Ministerial Advisory Group (see below) and other stakeholders to scope out emerging health and safety risks and opportunities with a view towards developing clear set of Phase III regulations.</w:t>
      </w:r>
      <w:r w:rsidRPr="00DC2C27">
        <w:rPr>
          <w:b/>
          <w:bCs/>
        </w:rPr>
        <w:t xml:space="preserve">  </w:t>
      </w:r>
    </w:p>
    <w:p w14:paraId="35E1B5B1" w14:textId="77777777" w:rsidR="00124FFF" w:rsidRDefault="00124FFF" w:rsidP="00444452">
      <w:pPr>
        <w:rPr>
          <w:b/>
          <w:bCs/>
        </w:rPr>
      </w:pPr>
    </w:p>
    <w:p w14:paraId="6F3A5C43" w14:textId="22DDE688" w:rsidR="00444452" w:rsidRDefault="00444452" w:rsidP="00444452">
      <w:r>
        <w:t>Possible areas for regulation might include:</w:t>
      </w:r>
    </w:p>
    <w:p w14:paraId="2CF26503" w14:textId="77777777" w:rsidR="00444452" w:rsidRDefault="00444452" w:rsidP="00444452">
      <w:pPr>
        <w:pStyle w:val="ListParagraph"/>
        <w:numPr>
          <w:ilvl w:val="0"/>
          <w:numId w:val="41"/>
        </w:numPr>
      </w:pPr>
      <w:r>
        <w:t>Respirable silica and other dusts</w:t>
      </w:r>
      <w:r>
        <w:rPr>
          <w:rStyle w:val="FootnoteReference"/>
        </w:rPr>
        <w:footnoteReference w:id="8"/>
      </w:r>
    </w:p>
    <w:p w14:paraId="6A19E281" w14:textId="77777777" w:rsidR="00444452" w:rsidRDefault="00444452" w:rsidP="00444452">
      <w:pPr>
        <w:pStyle w:val="ListParagraph"/>
        <w:numPr>
          <w:ilvl w:val="0"/>
          <w:numId w:val="41"/>
        </w:numPr>
      </w:pPr>
      <w:r>
        <w:t>Novel and renewable energy sources (including lithium battery and hydrogen fuel cell powered vehicles and importation of liquid natural gas)</w:t>
      </w:r>
      <w:r>
        <w:rPr>
          <w:rStyle w:val="FootnoteReference"/>
        </w:rPr>
        <w:footnoteReference w:id="9"/>
      </w:r>
    </w:p>
    <w:p w14:paraId="7E135476" w14:textId="77777777" w:rsidR="00444452" w:rsidRDefault="00444452" w:rsidP="00444452">
      <w:pPr>
        <w:pStyle w:val="ListParagraph"/>
        <w:numPr>
          <w:ilvl w:val="0"/>
          <w:numId w:val="41"/>
        </w:numPr>
      </w:pPr>
      <w:r>
        <w:t>Artificial intelligence</w:t>
      </w:r>
    </w:p>
    <w:p w14:paraId="469C3EC2" w14:textId="77777777" w:rsidR="00444452" w:rsidRDefault="00444452" w:rsidP="00444452">
      <w:pPr>
        <w:pStyle w:val="ListParagraph"/>
        <w:numPr>
          <w:ilvl w:val="0"/>
          <w:numId w:val="41"/>
        </w:numPr>
      </w:pPr>
      <w:r>
        <w:t>Robots and cobots</w:t>
      </w:r>
    </w:p>
    <w:p w14:paraId="7320771C" w14:textId="77777777" w:rsidR="00444452" w:rsidRDefault="00444452" w:rsidP="00444452">
      <w:pPr>
        <w:pStyle w:val="ListParagraph"/>
        <w:numPr>
          <w:ilvl w:val="0"/>
          <w:numId w:val="41"/>
        </w:numPr>
      </w:pPr>
      <w:r>
        <w:t>Risks associated with climate change (such as disaster preparedness and working in extremes of heat)</w:t>
      </w:r>
    </w:p>
    <w:p w14:paraId="686EBB38" w14:textId="77777777" w:rsidR="008F40E8" w:rsidRDefault="008F40E8" w:rsidP="00FD6FCD">
      <w:pPr>
        <w:pStyle w:val="BodyText"/>
        <w:spacing w:line="400" w:lineRule="exact"/>
        <w:rPr>
          <w:color w:val="04476E"/>
          <w:spacing w:val="-6"/>
          <w:sz w:val="28"/>
          <w:szCs w:val="28"/>
        </w:rPr>
      </w:pPr>
    </w:p>
    <w:p w14:paraId="48E61CE0" w14:textId="77777777" w:rsidR="00124FFF" w:rsidRDefault="00124FFF">
      <w:pPr>
        <w:rPr>
          <w:rFonts w:ascii="Lucida Sans" w:hAnsi="Lucida Sans" w:cs="Lucida Sans"/>
          <w:color w:val="04476E"/>
          <w:spacing w:val="-6"/>
          <w:sz w:val="28"/>
          <w:szCs w:val="28"/>
        </w:rPr>
      </w:pPr>
      <w:r>
        <w:rPr>
          <w:color w:val="04476E"/>
          <w:spacing w:val="-6"/>
          <w:sz w:val="28"/>
          <w:szCs w:val="28"/>
        </w:rPr>
        <w:br w:type="page"/>
      </w:r>
    </w:p>
    <w:p w14:paraId="4D88096C" w14:textId="325DC2CF" w:rsidR="00444452" w:rsidRPr="00124FFF" w:rsidRDefault="00AB70A2" w:rsidP="00124FFF">
      <w:pPr>
        <w:pStyle w:val="BodyText"/>
        <w:spacing w:line="400" w:lineRule="exact"/>
        <w:outlineLvl w:val="0"/>
        <w:rPr>
          <w:rFonts w:asciiTheme="majorHAnsi" w:hAnsiTheme="majorHAnsi"/>
          <w:b/>
          <w:bCs/>
          <w:color w:val="04476E"/>
          <w:spacing w:val="-6"/>
          <w:sz w:val="36"/>
          <w:szCs w:val="36"/>
        </w:rPr>
      </w:pPr>
      <w:bookmarkStart w:id="15" w:name="_Toc177397973"/>
      <w:r w:rsidRPr="00124FFF">
        <w:rPr>
          <w:rFonts w:asciiTheme="majorHAnsi" w:hAnsiTheme="majorHAnsi"/>
          <w:b/>
          <w:bCs/>
          <w:color w:val="04476E"/>
          <w:spacing w:val="-6"/>
          <w:sz w:val="36"/>
          <w:szCs w:val="36"/>
        </w:rPr>
        <w:lastRenderedPageBreak/>
        <w:t>GUIDANCE</w:t>
      </w:r>
      <w:bookmarkEnd w:id="15"/>
    </w:p>
    <w:p w14:paraId="76DE53D7" w14:textId="77777777" w:rsidR="00444452" w:rsidRPr="00124FFF" w:rsidRDefault="00444452" w:rsidP="00124FFF">
      <w:pPr>
        <w:pStyle w:val="Heading2"/>
        <w:rPr>
          <w:b/>
          <w:bCs/>
        </w:rPr>
      </w:pPr>
      <w:bookmarkStart w:id="16" w:name="_Toc177397974"/>
      <w:r w:rsidRPr="00124FFF">
        <w:rPr>
          <w:b/>
          <w:bCs/>
        </w:rPr>
        <w:t>The importance of guidance</w:t>
      </w:r>
      <w:bookmarkEnd w:id="16"/>
    </w:p>
    <w:p w14:paraId="4A43569E" w14:textId="77777777" w:rsidR="00444452" w:rsidRPr="000A61C1" w:rsidRDefault="00444452" w:rsidP="00444452">
      <w:pPr>
        <w:rPr>
          <w:lang w:val="en-US"/>
        </w:rPr>
      </w:pPr>
      <w:r>
        <w:rPr>
          <w:lang w:val="en-US"/>
        </w:rPr>
        <w:t>G</w:t>
      </w:r>
      <w:r w:rsidRPr="000A61C1">
        <w:rPr>
          <w:lang w:val="en-US"/>
        </w:rPr>
        <w:t>ood-quality guidance is at the heart of Robens-based health and safety systems.  The Robens Report noted (at page 50):</w:t>
      </w:r>
    </w:p>
    <w:p w14:paraId="145EBA73" w14:textId="77777777" w:rsidR="00444452" w:rsidRPr="000A61C1" w:rsidRDefault="00444452" w:rsidP="00444452">
      <w:pPr>
        <w:ind w:left="720"/>
        <w:rPr>
          <w:i/>
          <w:iCs/>
          <w:lang w:val="en-US"/>
        </w:rPr>
      </w:pPr>
      <w:r w:rsidRPr="000A61C1">
        <w:rPr>
          <w:i/>
          <w:iCs/>
          <w:lang w:val="en-US"/>
        </w:rPr>
        <w:t xml:space="preserve">As a general rule, non-statutory standards and codes of practice provide the most flexible and practical means of promoting progressively higher standards of safety and health at work. They should be used more extensively in future. </w:t>
      </w:r>
    </w:p>
    <w:p w14:paraId="11239975" w14:textId="77777777" w:rsidR="00444452" w:rsidRDefault="00444452" w:rsidP="00444452">
      <w:pPr>
        <w:rPr>
          <w:lang w:val="en-US"/>
        </w:rPr>
      </w:pPr>
    </w:p>
    <w:p w14:paraId="1DC2E284" w14:textId="149BFB5D" w:rsidR="00444452" w:rsidRPr="000A61C1" w:rsidRDefault="00444452" w:rsidP="00444452">
      <w:pPr>
        <w:rPr>
          <w:lang w:val="en-US"/>
        </w:rPr>
      </w:pPr>
      <w:r w:rsidRPr="000A61C1">
        <w:rPr>
          <w:lang w:val="en-US"/>
        </w:rPr>
        <w:t>A well-functioning health and safety system puts a lot of focus into getting this guidance right and there’s a strong case for more investment in this. However, WorkSafe’s current financial</w:t>
      </w:r>
      <w:r>
        <w:rPr>
          <w:lang w:val="en-US"/>
        </w:rPr>
        <w:t xml:space="preserve"> </w:t>
      </w:r>
      <w:r w:rsidR="00D55667">
        <w:rPr>
          <w:lang w:val="en-US"/>
        </w:rPr>
        <w:t>issues</w:t>
      </w:r>
      <w:r w:rsidR="00D55667" w:rsidRPr="000A61C1">
        <w:rPr>
          <w:lang w:val="en-US"/>
        </w:rPr>
        <w:t xml:space="preserve"> </w:t>
      </w:r>
      <w:r w:rsidRPr="000A61C1">
        <w:rPr>
          <w:lang w:val="en-US"/>
        </w:rPr>
        <w:t>mean this investment may be some years away. Also, the loss of expertise within the regulator means they don't necessarily have the technical capability to determine current best practice.</w:t>
      </w:r>
    </w:p>
    <w:p w14:paraId="5878A098" w14:textId="77777777" w:rsidR="00444452" w:rsidRDefault="00444452" w:rsidP="00444452">
      <w:pPr>
        <w:rPr>
          <w:lang w:val="en-US"/>
        </w:rPr>
      </w:pPr>
    </w:p>
    <w:p w14:paraId="26B5BB5D" w14:textId="77777777" w:rsidR="00444452" w:rsidRDefault="00444452" w:rsidP="00444452">
      <w:pPr>
        <w:rPr>
          <w:lang w:val="en-US"/>
        </w:rPr>
      </w:pPr>
      <w:r>
        <w:rPr>
          <w:lang w:val="en-US"/>
        </w:rPr>
        <w:t>In our</w:t>
      </w:r>
      <w:r w:rsidRPr="000A61C1">
        <w:rPr>
          <w:lang w:val="en-US"/>
        </w:rPr>
        <w:t xml:space="preserve"> recent survey of 1,300+ health and safety experts, one of the most common themes was the need for better quality guidance and information.  </w:t>
      </w:r>
      <w:r>
        <w:rPr>
          <w:lang w:val="en-US"/>
        </w:rPr>
        <w:t>Our members rely on good quality guidance to advise businesses on how to keep their workers safe.</w:t>
      </w:r>
    </w:p>
    <w:p w14:paraId="24E1B7F4" w14:textId="77777777" w:rsidR="00444452" w:rsidRDefault="00444452" w:rsidP="00444452">
      <w:pPr>
        <w:rPr>
          <w:lang w:val="en-US"/>
        </w:rPr>
      </w:pPr>
    </w:p>
    <w:p w14:paraId="025AC4F7" w14:textId="77777777" w:rsidR="00444452" w:rsidRPr="00124FFF" w:rsidRDefault="00444452" w:rsidP="00124FFF">
      <w:pPr>
        <w:pStyle w:val="Heading2"/>
        <w:rPr>
          <w:b/>
          <w:bCs/>
        </w:rPr>
      </w:pPr>
      <w:bookmarkStart w:id="17" w:name="_Toc177397975"/>
      <w:r w:rsidRPr="00124FFF">
        <w:rPr>
          <w:b/>
          <w:bCs/>
        </w:rPr>
        <w:t>The current state of WorkSafe’s guidance</w:t>
      </w:r>
      <w:bookmarkEnd w:id="17"/>
    </w:p>
    <w:p w14:paraId="6F42E97B" w14:textId="5DA01362" w:rsidR="00444452" w:rsidRDefault="00444452" w:rsidP="00444452">
      <w:r w:rsidRPr="645B0D55">
        <w:t xml:space="preserve">There are more than 500 pieces of published WorkSafe guidance but the quality is mixed, the majority </w:t>
      </w:r>
      <w:r w:rsidR="00124FFF">
        <w:t>are</w:t>
      </w:r>
      <w:r w:rsidRPr="645B0D55">
        <w:t xml:space="preserve"> out-of-date and it is difficult to find needed guidance due to a clunky web interface and </w:t>
      </w:r>
      <w:r w:rsidR="00124FFF">
        <w:t xml:space="preserve">poor </w:t>
      </w:r>
      <w:r w:rsidRPr="645B0D55">
        <w:t xml:space="preserve">search functionality.  </w:t>
      </w:r>
    </w:p>
    <w:p w14:paraId="750404E6" w14:textId="77777777" w:rsidR="00444452" w:rsidRDefault="00444452" w:rsidP="00444452">
      <w:pPr>
        <w:rPr>
          <w:lang w:val="en-US"/>
        </w:rPr>
      </w:pPr>
    </w:p>
    <w:p w14:paraId="363CEE01" w14:textId="77777777" w:rsidR="00444452" w:rsidRDefault="00444452" w:rsidP="00444452">
      <w:pPr>
        <w:rPr>
          <w:lang w:val="en-US"/>
        </w:rPr>
      </w:pPr>
      <w:r>
        <w:rPr>
          <w:lang w:val="en-US"/>
        </w:rPr>
        <w:t>I</w:t>
      </w:r>
      <w:r w:rsidRPr="000A61C1">
        <w:rPr>
          <w:lang w:val="en-US"/>
        </w:rPr>
        <w:t xml:space="preserve">mportant guidance such as the flawed but significant Good Practice Guide on Managing Psychosocial Risks </w:t>
      </w:r>
      <w:r>
        <w:rPr>
          <w:lang w:val="en-US"/>
        </w:rPr>
        <w:t>appears to have been discontinued at the draft stage.  Other crucial guidance such as the updated Forestry Approved Code of Practice recommended by the Independent Forestry Safety Review (in 2014!) and the Coroner (in 2021) has been much too slow to be revised.</w:t>
      </w:r>
    </w:p>
    <w:p w14:paraId="5A837F58" w14:textId="77777777" w:rsidR="00444452" w:rsidRDefault="00444452" w:rsidP="00444452">
      <w:pPr>
        <w:rPr>
          <w:lang w:val="en-US"/>
        </w:rPr>
      </w:pPr>
    </w:p>
    <w:p w14:paraId="01B92ACA" w14:textId="77777777" w:rsidR="00444452" w:rsidRDefault="00444452" w:rsidP="00444452">
      <w:pPr>
        <w:rPr>
          <w:lang w:val="en-US"/>
        </w:rPr>
      </w:pPr>
      <w:r>
        <w:rPr>
          <w:lang w:val="en-US"/>
        </w:rPr>
        <w:t xml:space="preserve">In our </w:t>
      </w:r>
      <w:hyperlink r:id="rId16" w:history="1">
        <w:r w:rsidRPr="00516061">
          <w:rPr>
            <w:rStyle w:val="Hyperlink"/>
            <w:lang w:val="en-US"/>
          </w:rPr>
          <w:t>Health and Safety Reform Survey</w:t>
        </w:r>
      </w:hyperlink>
      <w:r>
        <w:rPr>
          <w:lang w:val="en-US"/>
        </w:rPr>
        <w:t xml:space="preserve">, NZISM members have mentioned several examples of problematic outdated guidance.  For example: </w:t>
      </w:r>
    </w:p>
    <w:p w14:paraId="37AB365D" w14:textId="77777777" w:rsidR="00444452" w:rsidRPr="000A61C1" w:rsidRDefault="00444452" w:rsidP="00444452">
      <w:pPr>
        <w:ind w:left="720"/>
        <w:rPr>
          <w:lang w:val="en-US"/>
        </w:rPr>
      </w:pPr>
      <w:r w:rsidRPr="007B4EE2">
        <w:rPr>
          <w:i/>
          <w:iCs/>
          <w:lang w:val="en-US"/>
        </w:rPr>
        <w:t>“The current approved code of practice for industrial lift trucks is current dated as 1992, this is unacceptable for a high risk piece of equipment used in almost every NZ industry. the regulations are too relaxed with forklift licences being obtained in 4 hours and no follow up or competency enforced afterwards. There isn't enough regulations outlined between alternative types of forklifts and license requirements. It appears to currently be weight based but this is such a small portion to consider with the global market now offering a huge range of reach trucks, order pickers, tele handlers, articulated forklifts etc. Each one of them with steep learning curves</w:t>
      </w:r>
      <w:r w:rsidRPr="007B4EE2">
        <w:rPr>
          <w:lang w:val="en-US"/>
        </w:rPr>
        <w:t>.</w:t>
      </w:r>
      <w:r>
        <w:rPr>
          <w:lang w:val="en-US"/>
        </w:rPr>
        <w:t>”</w:t>
      </w:r>
    </w:p>
    <w:p w14:paraId="3E51635B" w14:textId="77777777" w:rsidR="00444452" w:rsidRDefault="00444452" w:rsidP="00444452">
      <w:pPr>
        <w:rPr>
          <w:lang w:val="en-US"/>
        </w:rPr>
      </w:pPr>
    </w:p>
    <w:p w14:paraId="535D752C" w14:textId="77777777" w:rsidR="00444452" w:rsidRDefault="00444452" w:rsidP="00444452">
      <w:pPr>
        <w:rPr>
          <w:lang w:val="en-US"/>
        </w:rPr>
      </w:pPr>
    </w:p>
    <w:p w14:paraId="4364EE07" w14:textId="77777777" w:rsidR="00444452" w:rsidRPr="00124FFF" w:rsidRDefault="00444452" w:rsidP="00124FFF">
      <w:pPr>
        <w:pStyle w:val="Heading2"/>
        <w:rPr>
          <w:b/>
          <w:bCs/>
        </w:rPr>
      </w:pPr>
      <w:bookmarkStart w:id="18" w:name="_Toc177397976"/>
      <w:r w:rsidRPr="00124FFF">
        <w:rPr>
          <w:b/>
          <w:bCs/>
        </w:rPr>
        <w:t>Endorsement of industry-developed guidance</w:t>
      </w:r>
      <w:bookmarkEnd w:id="18"/>
    </w:p>
    <w:p w14:paraId="120C629B" w14:textId="77777777" w:rsidR="00444452" w:rsidRPr="000A61C1" w:rsidRDefault="00444452" w:rsidP="00444452">
      <w:pPr>
        <w:rPr>
          <w:lang w:val="en-US"/>
        </w:rPr>
      </w:pPr>
      <w:r w:rsidRPr="000A61C1">
        <w:rPr>
          <w:lang w:val="en-US"/>
        </w:rPr>
        <w:t xml:space="preserve">WorkSafe </w:t>
      </w:r>
      <w:r>
        <w:rPr>
          <w:lang w:val="en-US"/>
        </w:rPr>
        <w:t>has endorsed seven pieces of guidance since adopting a formal</w:t>
      </w:r>
      <w:r w:rsidRPr="00C45A59">
        <w:rPr>
          <w:lang w:val="en-US"/>
        </w:rPr>
        <w:t xml:space="preserve"> </w:t>
      </w:r>
      <w:r w:rsidRPr="000A61C1">
        <w:rPr>
          <w:lang w:val="en-US"/>
        </w:rPr>
        <w:t xml:space="preserve">Endorsing Guidance and Educational Products </w:t>
      </w:r>
      <w:r>
        <w:rPr>
          <w:lang w:val="en-US"/>
        </w:rPr>
        <w:t>Policy in 2017</w:t>
      </w:r>
      <w:r w:rsidRPr="000A61C1">
        <w:rPr>
          <w:lang w:val="en-US"/>
        </w:rPr>
        <w:t xml:space="preserve">. One endorsement per year is not likely to </w:t>
      </w:r>
      <w:r>
        <w:rPr>
          <w:lang w:val="en-US"/>
        </w:rPr>
        <w:t>significantly improve safety outcomes</w:t>
      </w:r>
      <w:r w:rsidRPr="000A61C1">
        <w:rPr>
          <w:lang w:val="en-US"/>
        </w:rPr>
        <w:t>.</w:t>
      </w:r>
      <w:r>
        <w:rPr>
          <w:rStyle w:val="FootnoteReference"/>
          <w:lang w:val="en-US"/>
        </w:rPr>
        <w:footnoteReference w:id="10"/>
      </w:r>
    </w:p>
    <w:p w14:paraId="002F828B" w14:textId="77777777" w:rsidR="00444452" w:rsidRDefault="00444452" w:rsidP="00444452">
      <w:pPr>
        <w:rPr>
          <w:lang w:val="en-US"/>
        </w:rPr>
      </w:pPr>
    </w:p>
    <w:p w14:paraId="39AFC4BF" w14:textId="77777777" w:rsidR="00444452" w:rsidRDefault="00444452" w:rsidP="00444452">
      <w:pPr>
        <w:rPr>
          <w:lang w:val="en-US"/>
        </w:rPr>
      </w:pPr>
      <w:r w:rsidRPr="000A61C1">
        <w:rPr>
          <w:lang w:val="en-US"/>
        </w:rPr>
        <w:t xml:space="preserve">Part of the problem relates to the capacity and willingness of industry and workers to develop this guidance. </w:t>
      </w:r>
      <w:r>
        <w:rPr>
          <w:lang w:val="en-US"/>
        </w:rPr>
        <w:t xml:space="preserve"> Encouragement and funding would assist.  Work at pace</w:t>
      </w:r>
      <w:r w:rsidRPr="000A61C1">
        <w:rPr>
          <w:lang w:val="en-US"/>
        </w:rPr>
        <w:t xml:space="preserve"> is possible: During COVID for example some excellent guidance was produced fast</w:t>
      </w:r>
      <w:r>
        <w:rPr>
          <w:lang w:val="en-US"/>
        </w:rPr>
        <w:t xml:space="preserve"> and the recent IOD WorkSafe Health and Safety Governance Good Practice Guide was developed in less than 6 months.</w:t>
      </w:r>
    </w:p>
    <w:p w14:paraId="271B9A59" w14:textId="77777777" w:rsidR="00444452" w:rsidRDefault="00444452" w:rsidP="00444452">
      <w:pPr>
        <w:rPr>
          <w:lang w:val="en-US"/>
        </w:rPr>
      </w:pPr>
    </w:p>
    <w:p w14:paraId="68FD0AB7" w14:textId="77777777" w:rsidR="00444452" w:rsidRDefault="00444452" w:rsidP="00444452">
      <w:pPr>
        <w:rPr>
          <w:lang w:val="en-US"/>
        </w:rPr>
      </w:pPr>
      <w:r w:rsidRPr="00A30E64">
        <w:rPr>
          <w:u w:val="single"/>
          <w:lang w:val="en-US"/>
        </w:rPr>
        <w:t>We recommend that WorkSafe critically assess their framework and process for endorsing guidance.</w:t>
      </w:r>
      <w:r>
        <w:rPr>
          <w:lang w:val="en-US"/>
        </w:rPr>
        <w:t xml:space="preserve">  Endorsed guidance has input from workers and small businesses and should represent a statement as to what is genuinely reasonably practicable (rather than simply what is cheap or easy).</w:t>
      </w:r>
    </w:p>
    <w:p w14:paraId="4E910C22" w14:textId="77777777" w:rsidR="00444452" w:rsidRDefault="00444452" w:rsidP="00444452">
      <w:pPr>
        <w:rPr>
          <w:lang w:val="en-US"/>
        </w:rPr>
      </w:pPr>
    </w:p>
    <w:p w14:paraId="2D8B65A5" w14:textId="77777777" w:rsidR="00444452" w:rsidRPr="000A61C1" w:rsidRDefault="00444452" w:rsidP="00444452">
      <w:pPr>
        <w:rPr>
          <w:lang w:val="en-US"/>
        </w:rPr>
      </w:pPr>
      <w:r>
        <w:rPr>
          <w:lang w:val="en-US"/>
        </w:rPr>
        <w:t>Projects to develop effective guidance may be a worthy use of ACC’s workplace injury prevention funding.</w:t>
      </w:r>
    </w:p>
    <w:p w14:paraId="57C736FE" w14:textId="77777777" w:rsidR="00444452" w:rsidRDefault="00444452" w:rsidP="00444452">
      <w:pPr>
        <w:rPr>
          <w:b/>
          <w:bCs/>
        </w:rPr>
      </w:pPr>
    </w:p>
    <w:p w14:paraId="10959621" w14:textId="77777777" w:rsidR="00444452" w:rsidRPr="00124FFF" w:rsidRDefault="00444452" w:rsidP="00124FFF">
      <w:pPr>
        <w:pStyle w:val="Heading2"/>
        <w:rPr>
          <w:b/>
          <w:bCs/>
        </w:rPr>
      </w:pPr>
      <w:bookmarkStart w:id="19" w:name="_Toc177397977"/>
      <w:r w:rsidRPr="00124FFF">
        <w:rPr>
          <w:b/>
          <w:bCs/>
        </w:rPr>
        <w:t>Adoption of international best-practice guidance</w:t>
      </w:r>
      <w:bookmarkEnd w:id="19"/>
    </w:p>
    <w:p w14:paraId="55AD1A06" w14:textId="77777777" w:rsidR="00444452" w:rsidRPr="00A30E64" w:rsidRDefault="00444452" w:rsidP="00444452">
      <w:pPr>
        <w:rPr>
          <w:u w:val="single"/>
          <w:lang w:val="en-US"/>
        </w:rPr>
      </w:pPr>
      <w:r w:rsidRPr="00A30E64">
        <w:rPr>
          <w:u w:val="single"/>
          <w:lang w:val="en-US"/>
        </w:rPr>
        <w:t>WorkSafe should also do more to support and endorse industry-developed guidance and to adopt best practice guidance from overseas jurisdictions.</w:t>
      </w:r>
    </w:p>
    <w:p w14:paraId="6CCC2E32" w14:textId="77777777" w:rsidR="00444452" w:rsidRDefault="00444452" w:rsidP="00444452">
      <w:pPr>
        <w:rPr>
          <w:lang w:val="en-US"/>
        </w:rPr>
      </w:pPr>
    </w:p>
    <w:p w14:paraId="70152215" w14:textId="77777777" w:rsidR="00444452" w:rsidRPr="000A61C1" w:rsidRDefault="00444452" w:rsidP="00444452">
      <w:pPr>
        <w:rPr>
          <w:lang w:val="en-US"/>
        </w:rPr>
      </w:pPr>
      <w:r>
        <w:rPr>
          <w:lang w:val="en-US"/>
        </w:rPr>
        <w:t xml:space="preserve">A significant part of the rationale for the adoption of the Model WHS Act was the ability to adopt Australian guidance.  </w:t>
      </w:r>
      <w:r w:rsidRPr="000A61C1">
        <w:rPr>
          <w:lang w:val="en-US"/>
        </w:rPr>
        <w:t>The Independent Taskforce on Workplace Health and Safety  noted (at paragraphs 419 and 420 of their Full Report):</w:t>
      </w:r>
    </w:p>
    <w:p w14:paraId="75C96B73" w14:textId="77777777" w:rsidR="00444452" w:rsidRPr="00DF542F" w:rsidRDefault="00444452" w:rsidP="00444452">
      <w:pPr>
        <w:ind w:left="720"/>
        <w:rPr>
          <w:i/>
          <w:iCs/>
          <w:lang w:val="en-US"/>
        </w:rPr>
      </w:pPr>
      <w:r w:rsidRPr="000A61C1">
        <w:rPr>
          <w:i/>
          <w:iCs/>
          <w:lang w:val="en-US"/>
        </w:rPr>
        <w:t xml:space="preserve">With the proposed adoption of the [Australian] model law, the Taskforce considers that there is an opportunity to adopt the best available material from Australia to speed up the development of supporting regulations, ACOPs and guidance material for New Zealand. </w:t>
      </w:r>
    </w:p>
    <w:p w14:paraId="4B2C034D" w14:textId="77777777" w:rsidR="00444452" w:rsidRPr="00DF542F" w:rsidRDefault="00444452" w:rsidP="00444452">
      <w:pPr>
        <w:ind w:left="720"/>
        <w:rPr>
          <w:i/>
          <w:iCs/>
          <w:lang w:val="en-US"/>
        </w:rPr>
      </w:pPr>
    </w:p>
    <w:p w14:paraId="728789CB" w14:textId="77777777" w:rsidR="00444452" w:rsidRPr="000A61C1" w:rsidRDefault="00444452" w:rsidP="00444452">
      <w:pPr>
        <w:ind w:left="720"/>
        <w:rPr>
          <w:i/>
          <w:iCs/>
          <w:lang w:val="en-US"/>
        </w:rPr>
      </w:pPr>
      <w:r w:rsidRPr="000A61C1">
        <w:rPr>
          <w:i/>
          <w:iCs/>
          <w:lang w:val="en-US"/>
        </w:rPr>
        <w:t xml:space="preserve">The new agency should also look to other comparable jurisdictions, including the UK and Canada, to identify good practice in regulations, ACOPs and guidance material.  The Taskforce considers that the best material available internationally should be adopted unless there is good reason not to. </w:t>
      </w:r>
    </w:p>
    <w:p w14:paraId="54BE355E" w14:textId="77777777" w:rsidR="00444452" w:rsidRDefault="00444452" w:rsidP="00444452">
      <w:pPr>
        <w:rPr>
          <w:lang w:val="en-US"/>
        </w:rPr>
      </w:pPr>
    </w:p>
    <w:p w14:paraId="20124452" w14:textId="77777777" w:rsidR="00444452" w:rsidRDefault="00444452" w:rsidP="00444452">
      <w:pPr>
        <w:rPr>
          <w:lang w:val="en-US"/>
        </w:rPr>
      </w:pPr>
      <w:r w:rsidRPr="000A61C1">
        <w:rPr>
          <w:lang w:val="en-US"/>
        </w:rPr>
        <w:lastRenderedPageBreak/>
        <w:t xml:space="preserve">Following the review of their model law and regulations, Australia has embarked on a significant exercise to improve their codes of practice.  Adapting their guidance should be straightforward given the similarity of our legislation. </w:t>
      </w:r>
    </w:p>
    <w:p w14:paraId="77D3CA36" w14:textId="77777777" w:rsidR="00444452" w:rsidRDefault="00444452" w:rsidP="00444452">
      <w:pPr>
        <w:rPr>
          <w:b/>
          <w:bCs/>
        </w:rPr>
      </w:pPr>
    </w:p>
    <w:p w14:paraId="13018450" w14:textId="77777777" w:rsidR="00444452" w:rsidRDefault="00444452" w:rsidP="00444452">
      <w:pPr>
        <w:rPr>
          <w:b/>
          <w:bCs/>
        </w:rPr>
      </w:pPr>
      <w:r w:rsidRPr="00A30E64">
        <w:rPr>
          <w:u w:val="single"/>
        </w:rPr>
        <w:t>We recommend that a designated resource within WorkSafe is tasked with a review of potential options for adoption of guidance from overseas regulators with necessary adjustments (starting with Australia and the United Kingdom).</w:t>
      </w:r>
      <w:r>
        <w:rPr>
          <w:b/>
          <w:bCs/>
        </w:rPr>
        <w:t xml:space="preserve">  </w:t>
      </w:r>
      <w:r w:rsidRPr="00FE770B">
        <w:t>This work should be undertaken with input from health and safety experts and the relevant overseas regulators.</w:t>
      </w:r>
    </w:p>
    <w:p w14:paraId="45A8AD64" w14:textId="77777777" w:rsidR="004429FE" w:rsidRDefault="004429FE" w:rsidP="002070EB"/>
    <w:p w14:paraId="7E4C27B4" w14:textId="30B908B3" w:rsidR="00444452" w:rsidRPr="00124FFF" w:rsidRDefault="00AB70A2" w:rsidP="00124FFF">
      <w:pPr>
        <w:pStyle w:val="BodyText"/>
        <w:spacing w:line="400" w:lineRule="exact"/>
        <w:outlineLvl w:val="0"/>
        <w:rPr>
          <w:rFonts w:asciiTheme="majorHAnsi" w:hAnsiTheme="majorHAnsi"/>
          <w:b/>
          <w:bCs/>
          <w:color w:val="04476E"/>
          <w:spacing w:val="-6"/>
          <w:sz w:val="36"/>
          <w:szCs w:val="36"/>
        </w:rPr>
      </w:pPr>
      <w:bookmarkStart w:id="20" w:name="_Toc177397978"/>
      <w:r>
        <w:rPr>
          <w:rFonts w:asciiTheme="majorHAnsi" w:hAnsiTheme="majorHAnsi"/>
          <w:b/>
          <w:bCs/>
          <w:color w:val="04476E"/>
          <w:spacing w:val="-6"/>
          <w:sz w:val="36"/>
          <w:szCs w:val="36"/>
        </w:rPr>
        <w:t xml:space="preserve">THE </w:t>
      </w:r>
      <w:r w:rsidRPr="00124FFF">
        <w:rPr>
          <w:rFonts w:asciiTheme="majorHAnsi" w:hAnsiTheme="majorHAnsi"/>
          <w:b/>
          <w:bCs/>
          <w:color w:val="04476E"/>
          <w:spacing w:val="-6"/>
          <w:sz w:val="36"/>
          <w:szCs w:val="36"/>
        </w:rPr>
        <w:t>HEALTH AND SAFETY REGULATORS</w:t>
      </w:r>
      <w:bookmarkEnd w:id="20"/>
    </w:p>
    <w:p w14:paraId="5CFB93E8" w14:textId="38C1CFC2" w:rsidR="72B11CD3" w:rsidRDefault="72B11CD3" w:rsidP="72B11CD3">
      <w:pPr>
        <w:spacing w:line="259" w:lineRule="auto"/>
      </w:pPr>
      <w:r>
        <w:t xml:space="preserve">The role of the health and safety regulators (WorkSafe NZ, CAA, MNZ) as kaitiaki of the operation of the system is crucial to its effectiveness and the mana and respect with which it is held by stakeholders. </w:t>
      </w:r>
      <w:r w:rsidR="664DC7DF">
        <w:t xml:space="preserve"> </w:t>
      </w:r>
      <w:r>
        <w:t>Currently that respect is highly variable and certainly not optimal.</w:t>
      </w:r>
      <w:r w:rsidR="58A8D1F5">
        <w:t xml:space="preserve"> WorkSafe </w:t>
      </w:r>
      <w:r w:rsidR="2E6C74D4">
        <w:t>NZ in</w:t>
      </w:r>
      <w:r w:rsidR="58A8D1F5">
        <w:t xml:space="preserve"> particular is at risk of losing its credibility as a modern, intelligent regulator with its </w:t>
      </w:r>
      <w:bookmarkStart w:id="21" w:name="_Int_mGLfTlMq"/>
      <w:r w:rsidR="58A8D1F5">
        <w:t>back to basics</w:t>
      </w:r>
      <w:bookmarkEnd w:id="21"/>
      <w:r w:rsidR="58A8D1F5">
        <w:t xml:space="preserve"> approach</w:t>
      </w:r>
      <w:r w:rsidR="468C32A9">
        <w:t xml:space="preserve"> and constant churn of staff leading to a loss of institutional knowledge, relationships and experience.</w:t>
      </w:r>
    </w:p>
    <w:p w14:paraId="1B0D9503" w14:textId="4EA32AC8" w:rsidR="06097C81" w:rsidRDefault="06097C81" w:rsidP="06097C81">
      <w:pPr>
        <w:spacing w:line="259" w:lineRule="auto"/>
      </w:pPr>
    </w:p>
    <w:p w14:paraId="455C7DB7" w14:textId="3AEE91DF" w:rsidR="468C32A9" w:rsidRDefault="468C32A9" w:rsidP="06097C81">
      <w:pPr>
        <w:spacing w:line="259" w:lineRule="auto"/>
      </w:pPr>
      <w:r>
        <w:t xml:space="preserve">Our members who work for WorkSafe NZ feel they lack the leadership, professional development opportunities and supporting infrastructure to enable them to thrive and </w:t>
      </w:r>
      <w:r w:rsidR="1F7F54A3">
        <w:t>achieve their potential.  By contrast MNZ is investing in building its team</w:t>
      </w:r>
      <w:r w:rsidR="4FE80552">
        <w:t xml:space="preserve"> to work in the port sector</w:t>
      </w:r>
      <w:r w:rsidR="1F7F54A3">
        <w:t xml:space="preserve"> (a </w:t>
      </w:r>
      <w:r w:rsidR="70347FA1">
        <w:t>number of whom were let go by WorkSafe</w:t>
      </w:r>
      <w:r w:rsidR="61873E60">
        <w:t xml:space="preserve"> </w:t>
      </w:r>
      <w:r w:rsidR="512DA6DD">
        <w:t>NZ) and</w:t>
      </w:r>
      <w:r w:rsidR="1F7F54A3">
        <w:t xml:space="preserve"> has already received strong support from all stakeholders in that challenging industry</w:t>
      </w:r>
      <w:r w:rsidR="08521AAE">
        <w:t xml:space="preserve"> for the difference they are making together.</w:t>
      </w:r>
    </w:p>
    <w:p w14:paraId="794C28B3" w14:textId="6CA34DAC" w:rsidR="72B11CD3" w:rsidRDefault="72B11CD3" w:rsidP="72B11CD3">
      <w:pPr>
        <w:spacing w:line="259" w:lineRule="auto"/>
      </w:pPr>
    </w:p>
    <w:p w14:paraId="5757E397" w14:textId="60ABA667" w:rsidR="72B11CD3" w:rsidRDefault="72B11CD3" w:rsidP="72B11CD3">
      <w:pPr>
        <w:spacing w:line="259" w:lineRule="auto"/>
      </w:pPr>
      <w:r>
        <w:t>We identify some of the key issues that this review could address:</w:t>
      </w:r>
    </w:p>
    <w:p w14:paraId="2EBACC13" w14:textId="721504F9" w:rsidR="72B11CD3" w:rsidRDefault="72B11CD3" w:rsidP="72B11CD3">
      <w:pPr>
        <w:pStyle w:val="ListParagraph"/>
        <w:numPr>
          <w:ilvl w:val="0"/>
          <w:numId w:val="7"/>
        </w:numPr>
        <w:spacing w:line="259" w:lineRule="auto"/>
      </w:pPr>
      <w:r>
        <w:t>The scope of each regulator’s role</w:t>
      </w:r>
    </w:p>
    <w:p w14:paraId="1E6B63B7" w14:textId="50E95A60" w:rsidR="72B11CD3" w:rsidRDefault="72B11CD3" w:rsidP="72B11CD3">
      <w:pPr>
        <w:pStyle w:val="ListParagraph"/>
        <w:numPr>
          <w:ilvl w:val="0"/>
          <w:numId w:val="7"/>
        </w:numPr>
        <w:spacing w:line="259" w:lineRule="auto"/>
      </w:pPr>
      <w:r w:rsidRPr="06097C81">
        <w:t>WorkSafe's strategy, mindset and perspective</w:t>
      </w:r>
    </w:p>
    <w:p w14:paraId="4319962E" w14:textId="6EDCC1C9" w:rsidR="72B11CD3" w:rsidRDefault="72B11CD3" w:rsidP="72B11CD3">
      <w:pPr>
        <w:pStyle w:val="ListParagraph"/>
        <w:numPr>
          <w:ilvl w:val="0"/>
          <w:numId w:val="7"/>
        </w:numPr>
        <w:spacing w:line="259" w:lineRule="auto"/>
      </w:pPr>
      <w:r>
        <w:t>The need for an intelligent regulator supported by highly skilled people</w:t>
      </w:r>
    </w:p>
    <w:p w14:paraId="372C9DEE" w14:textId="05A86241" w:rsidR="72B11CD3" w:rsidRDefault="72B11CD3" w:rsidP="72B11CD3">
      <w:pPr>
        <w:pStyle w:val="ListParagraph"/>
        <w:numPr>
          <w:ilvl w:val="0"/>
          <w:numId w:val="7"/>
        </w:numPr>
        <w:spacing w:line="259" w:lineRule="auto"/>
      </w:pPr>
      <w:r>
        <w:t>Sector engagement</w:t>
      </w:r>
    </w:p>
    <w:p w14:paraId="77D2329C" w14:textId="4EFCF2DC" w:rsidR="72B11CD3" w:rsidRDefault="72B11CD3" w:rsidP="72B11CD3">
      <w:pPr>
        <w:pStyle w:val="ListParagraph"/>
        <w:numPr>
          <w:ilvl w:val="0"/>
          <w:numId w:val="7"/>
        </w:numPr>
        <w:spacing w:line="259" w:lineRule="auto"/>
      </w:pPr>
      <w:r>
        <w:t>Cross-cutting risks</w:t>
      </w:r>
    </w:p>
    <w:p w14:paraId="2B07CDC8" w14:textId="4C94A414" w:rsidR="72B11CD3" w:rsidRDefault="72B11CD3" w:rsidP="72B11CD3">
      <w:pPr>
        <w:pStyle w:val="ListParagraph"/>
        <w:numPr>
          <w:ilvl w:val="0"/>
          <w:numId w:val="7"/>
        </w:numPr>
        <w:spacing w:line="259" w:lineRule="auto"/>
      </w:pPr>
      <w:r>
        <w:t>System funding</w:t>
      </w:r>
    </w:p>
    <w:p w14:paraId="061F3134" w14:textId="49C1C438" w:rsidR="72B11CD3" w:rsidRDefault="72B11CD3" w:rsidP="72B11CD3">
      <w:pPr>
        <w:spacing w:line="259" w:lineRule="auto"/>
      </w:pPr>
    </w:p>
    <w:p w14:paraId="27636F2E" w14:textId="18197C15" w:rsidR="72B11CD3" w:rsidRPr="00124FFF" w:rsidRDefault="72B11CD3" w:rsidP="00124FFF">
      <w:pPr>
        <w:pStyle w:val="Heading2"/>
      </w:pPr>
      <w:bookmarkStart w:id="22" w:name="_Toc177397979"/>
      <w:r w:rsidRPr="00124FFF">
        <w:t>Scope of the role of regulators</w:t>
      </w:r>
      <w:bookmarkEnd w:id="22"/>
    </w:p>
    <w:p w14:paraId="318A7F92" w14:textId="12201E4B" w:rsidR="72B11CD3" w:rsidRDefault="72B11CD3" w:rsidP="72B11CD3"/>
    <w:p w14:paraId="0F87ACD9" w14:textId="6A5257B3" w:rsidR="72B11CD3" w:rsidRDefault="72B11CD3" w:rsidP="72B11CD3">
      <w:r>
        <w:t xml:space="preserve">We currently have two highly specialized sector-based </w:t>
      </w:r>
      <w:r w:rsidR="4191AD47">
        <w:t xml:space="preserve">HSWA </w:t>
      </w:r>
      <w:r>
        <w:t>regulators and one broad-based regulator. In addition, we have something of a hybrid in relation to road and rail with NZTA, Police and WorkSafe NZ all having a role to play but in a</w:t>
      </w:r>
      <w:r w:rsidR="21A92D49">
        <w:t xml:space="preserve"> somewhat </w:t>
      </w:r>
      <w:r>
        <w:t>uncoordinated way.</w:t>
      </w:r>
    </w:p>
    <w:p w14:paraId="29D6106E" w14:textId="7869F6BD" w:rsidR="72B11CD3" w:rsidRDefault="72B11CD3" w:rsidP="72B11CD3"/>
    <w:p w14:paraId="0FC7A5C9" w14:textId="6C2F11D3" w:rsidR="72B11CD3" w:rsidRDefault="72B11CD3" w:rsidP="72B11CD3">
      <w:r>
        <w:lastRenderedPageBreak/>
        <w:t>There are also a variety of other regulators whose role overlaps with WorkSafe NZ but who, in the vast majority of cases, are not covered by MoUs or similar agreements to define each other’s scope, interface arrangements, data sharing etc.  A number of examples are listed below but there are many more:</w:t>
      </w:r>
    </w:p>
    <w:p w14:paraId="161F5557" w14:textId="59D38AFE" w:rsidR="72B11CD3" w:rsidRDefault="72B11CD3" w:rsidP="72B11CD3">
      <w:pPr>
        <w:pStyle w:val="ListParagraph"/>
        <w:numPr>
          <w:ilvl w:val="0"/>
          <w:numId w:val="6"/>
        </w:numPr>
      </w:pPr>
      <w:r>
        <w:t>Fumigation (MPI)</w:t>
      </w:r>
    </w:p>
    <w:p w14:paraId="1CF217E4" w14:textId="3F157A5E" w:rsidR="72B11CD3" w:rsidRDefault="72B11CD3" w:rsidP="72B11CD3">
      <w:pPr>
        <w:pStyle w:val="ListParagraph"/>
        <w:numPr>
          <w:ilvl w:val="0"/>
          <w:numId w:val="6"/>
        </w:numPr>
      </w:pPr>
      <w:r>
        <w:t>Zoos (MPI)</w:t>
      </w:r>
    </w:p>
    <w:p w14:paraId="4628C25B" w14:textId="4713ED05" w:rsidR="72B11CD3" w:rsidRDefault="72B11CD3" w:rsidP="72B11CD3">
      <w:pPr>
        <w:pStyle w:val="ListParagraph"/>
        <w:numPr>
          <w:ilvl w:val="0"/>
          <w:numId w:val="6"/>
        </w:numPr>
      </w:pPr>
      <w:r>
        <w:t>Health and disability sector (Health and Disability Commissioner, Health Quality and Safety Commis</w:t>
      </w:r>
      <w:r w:rsidR="008F1D35">
        <w:t>s</w:t>
      </w:r>
      <w:r>
        <w:t>ion, MoH, Professional regulatory bodies and others)</w:t>
      </w:r>
    </w:p>
    <w:p w14:paraId="46CEFC25" w14:textId="3EF67230" w:rsidR="72B11CD3" w:rsidRDefault="72B11CD3" w:rsidP="72B11CD3">
      <w:pPr>
        <w:pStyle w:val="ListParagraph"/>
        <w:numPr>
          <w:ilvl w:val="0"/>
          <w:numId w:val="6"/>
        </w:numPr>
      </w:pPr>
      <w:r>
        <w:t>Police (Independent Police Conduct Authority)</w:t>
      </w:r>
    </w:p>
    <w:p w14:paraId="1F5272C5" w14:textId="6C08C772" w:rsidR="72B11CD3" w:rsidRDefault="72B11CD3" w:rsidP="72B11CD3">
      <w:pPr>
        <w:pStyle w:val="ListParagraph"/>
        <w:numPr>
          <w:ilvl w:val="0"/>
          <w:numId w:val="6"/>
        </w:numPr>
      </w:pPr>
      <w:r w:rsidRPr="06097C81">
        <w:t>Early childhood education (ERO, MoE and others)</w:t>
      </w:r>
    </w:p>
    <w:p w14:paraId="7A57AC8B" w14:textId="0287F4A9" w:rsidR="72B11CD3" w:rsidRDefault="72B11CD3" w:rsidP="72B11CD3">
      <w:pPr>
        <w:pStyle w:val="ListParagraph"/>
        <w:numPr>
          <w:ilvl w:val="0"/>
          <w:numId w:val="6"/>
        </w:numPr>
      </w:pPr>
      <w:r>
        <w:t>Airports (CAA)</w:t>
      </w:r>
    </w:p>
    <w:p w14:paraId="6B4DBBB1" w14:textId="2F7236CC" w:rsidR="72B11CD3" w:rsidRDefault="72B11CD3" w:rsidP="72B11CD3"/>
    <w:p w14:paraId="4A68C593" w14:textId="05F60F84" w:rsidR="72B11CD3" w:rsidRDefault="003545D6" w:rsidP="72B11CD3">
      <w:r>
        <w:rPr>
          <w:u w:val="single"/>
        </w:rPr>
        <w:t xml:space="preserve">We think that </w:t>
      </w:r>
      <w:r w:rsidRPr="003545D6">
        <w:rPr>
          <w:u w:val="single"/>
        </w:rPr>
        <w:t xml:space="preserve">New Zealand should </w:t>
      </w:r>
      <w:r>
        <w:rPr>
          <w:u w:val="single"/>
        </w:rPr>
        <w:t xml:space="preserve">consider </w:t>
      </w:r>
      <w:r w:rsidRPr="003545D6">
        <w:rPr>
          <w:u w:val="single"/>
        </w:rPr>
        <w:t>streamlin</w:t>
      </w:r>
      <w:r>
        <w:rPr>
          <w:u w:val="single"/>
        </w:rPr>
        <w:t>ing</w:t>
      </w:r>
      <w:r w:rsidRPr="003545D6">
        <w:rPr>
          <w:u w:val="single"/>
        </w:rPr>
        <w:t xml:space="preserve"> its regulatory framework by adopting a single safety regulator for each sector</w:t>
      </w:r>
      <w:r w:rsidR="72B11CD3" w:rsidRPr="00425A36">
        <w:rPr>
          <w:u w:val="single"/>
        </w:rPr>
        <w:t>.</w:t>
      </w:r>
      <w:r w:rsidR="72B11CD3">
        <w:t xml:space="preserve">  Having a regulator who understands a sector, already has links to the key stakeholders, has other regulatory power</w:t>
      </w:r>
      <w:r w:rsidR="30DAD1EB">
        <w:t>s</w:t>
      </w:r>
      <w:r w:rsidR="72B11CD3">
        <w:t>, is understood and respected by the sector and who is able to see health and safety in context</w:t>
      </w:r>
      <w:r w:rsidR="4D576A2F">
        <w:t>,</w:t>
      </w:r>
      <w:r w:rsidR="72B11CD3">
        <w:t xml:space="preserve"> will improve consistency and efficiency.  </w:t>
      </w:r>
    </w:p>
    <w:p w14:paraId="1DB43E6B" w14:textId="4CE2303F" w:rsidR="72B11CD3" w:rsidRDefault="72B11CD3" w:rsidP="72B11CD3"/>
    <w:p w14:paraId="3CBD53D6" w14:textId="555DE7AD" w:rsidR="72B11CD3" w:rsidRDefault="72B11CD3" w:rsidP="72B11CD3">
      <w:r>
        <w:t xml:space="preserve">We have recently seen the benefits of MNZ being the sole safety regulator for ports and there is no reason why a similar approach could not be adopted for airports given CAA’s licensing and regulatory roles covering most aspects of their operations. It is </w:t>
      </w:r>
    </w:p>
    <w:p w14:paraId="76329E63" w14:textId="69378B3C" w:rsidR="72B11CD3" w:rsidRDefault="72B11CD3" w:rsidP="72B11CD3">
      <w:r>
        <w:t xml:space="preserve">nonsensical for WorkSafe to try and intervene over a ground handling issue (plane </w:t>
      </w:r>
      <w:r w:rsidR="4283FF0E">
        <w:t>fuelling</w:t>
      </w:r>
      <w:r>
        <w:t>, baggage handling, vehicle collision, etc.) when there is a regulator who already enforces HSWA in place.</w:t>
      </w:r>
      <w:r w:rsidR="2F90BD38">
        <w:t xml:space="preserve"> In other countries like the UK the dividing line is landside HSE, airside CAA.</w:t>
      </w:r>
    </w:p>
    <w:p w14:paraId="32C59920" w14:textId="381440AC" w:rsidR="72B11CD3" w:rsidRDefault="72B11CD3" w:rsidP="72B11CD3"/>
    <w:p w14:paraId="6E7B3A87" w14:textId="4FE81E94" w:rsidR="72B11CD3" w:rsidRDefault="72B11CD3" w:rsidP="72B11CD3">
      <w:r>
        <w:t>Designating other agencies who are not HSWA regulators is more complex but not insurmountable.  MPI for example already oversees all export and import fumigation at ports and transitional facilities to ensure efficacy</w:t>
      </w:r>
      <w:r w:rsidR="6A32FCA6">
        <w:t xml:space="preserve"> from a biosecurity perspective</w:t>
      </w:r>
      <w:r>
        <w:t xml:space="preserve"> and have an overlapping </w:t>
      </w:r>
      <w:bookmarkStart w:id="23" w:name="_Int_POxihCH4"/>
      <w:r>
        <w:t>duties</w:t>
      </w:r>
      <w:bookmarkEnd w:id="23"/>
      <w:r>
        <w:t xml:space="preserve"> role to protect their own staff when inspecting such facilities. Giving them an HSWA designation would only make a marginal change to how they perform their current functions. A similar situation exists with zoos where MPI proactively regulate the animal containment facilities under HSNO but if a keeper is hurt or killed </w:t>
      </w:r>
      <w:r w:rsidR="74AB4226">
        <w:t>(</w:t>
      </w:r>
      <w:r w:rsidR="74AB4226" w:rsidRPr="00124FFF">
        <w:rPr>
          <w:i/>
          <w:iCs/>
        </w:rPr>
        <w:t>Hamilton</w:t>
      </w:r>
      <w:r w:rsidR="74AB4226">
        <w:t xml:space="preserve"> and </w:t>
      </w:r>
      <w:r w:rsidR="74AB4226" w:rsidRPr="00124FFF">
        <w:rPr>
          <w:i/>
          <w:iCs/>
        </w:rPr>
        <w:t>Zion</w:t>
      </w:r>
      <w:r w:rsidR="74AB4226">
        <w:t xml:space="preserve">) </w:t>
      </w:r>
      <w:r>
        <w:t>WorkSafe come into an unfamiliar environment to try and make sense of the arrangements.</w:t>
      </w:r>
      <w:r w:rsidR="0DF4F237">
        <w:t xml:space="preserve">  Should an issue arise that is beyond the competence of one regulator then arrangements could be made to co</w:t>
      </w:r>
      <w:r w:rsidR="5450336B">
        <w:t>-</w:t>
      </w:r>
      <w:r w:rsidR="0DF4F237">
        <w:t>opt a technical specialist to assist without disrupting the primary relationship</w:t>
      </w:r>
      <w:r w:rsidR="7F96238B">
        <w:t>.</w:t>
      </w:r>
    </w:p>
    <w:p w14:paraId="6A5D69E1" w14:textId="519AB328" w:rsidR="72B11CD3" w:rsidRDefault="72B11CD3" w:rsidP="72B11CD3"/>
    <w:p w14:paraId="245CACC4" w14:textId="5FFC24F5" w:rsidR="72B11CD3" w:rsidRDefault="72B11CD3" w:rsidP="72B11CD3">
      <w:r>
        <w:t xml:space="preserve">Recent cases in the health and disability sector </w:t>
      </w:r>
      <w:r w:rsidR="1223EC5F">
        <w:t xml:space="preserve">(such as IHC) </w:t>
      </w:r>
      <w:r>
        <w:t>have highlighted challenges between different legislative and policy requirements such as human rights, privacy and Enabling Good Lives. A regulator who is not embedded in this complex sector cannot hope to do anything other than act transactionally –sometimes with unintended consequences.</w:t>
      </w:r>
    </w:p>
    <w:p w14:paraId="7983F3AE" w14:textId="545F1566" w:rsidR="72B11CD3" w:rsidRDefault="72B11CD3" w:rsidP="72B11CD3"/>
    <w:p w14:paraId="2E981E81" w14:textId="2535FB81" w:rsidR="72B11CD3" w:rsidRDefault="72B11CD3" w:rsidP="72B11CD3">
      <w:r>
        <w:lastRenderedPageBreak/>
        <w:t>Rail is regulated by NZTA who approve safety cases for rail operators. However, if an accident occurs (such as a shunting event) it is WorkSafe NZ who investigate, or MNZ if it happens on a rail ferry.  The Transport Accident Investigation Commission already has a role in rail, maritime and aviation but not road transport. They could act as a backstop to ensure the transport regulators are held to account.</w:t>
      </w:r>
    </w:p>
    <w:p w14:paraId="7900A083" w14:textId="32285E13" w:rsidR="06097C81" w:rsidRDefault="06097C81" w:rsidP="06097C81"/>
    <w:p w14:paraId="659BA43C" w14:textId="5BD52484" w:rsidR="12721C71" w:rsidRDefault="12721C71" w:rsidP="06097C81">
      <w:r>
        <w:t>Issues arising from operational activities in the Police, Defence and Security services raise complex public policy questions about the balance of risk</w:t>
      </w:r>
      <w:r w:rsidR="7B582C31">
        <w:t xml:space="preserve"> and benefit. It is not clear that current arrangements are providing the intended </w:t>
      </w:r>
      <w:r w:rsidR="689D2EE0">
        <w:t>framework for these agencies to make difficult decisions without fear of subsequent prosecution or being able to simply exempt themselves from scrutiny</w:t>
      </w:r>
      <w:r w:rsidR="52920CB5">
        <w:t>.</w:t>
      </w:r>
    </w:p>
    <w:p w14:paraId="1B133136" w14:textId="20114B63" w:rsidR="72B11CD3" w:rsidRDefault="72B11CD3" w:rsidP="72B11CD3"/>
    <w:p w14:paraId="7462771C" w14:textId="721F02BD" w:rsidR="72B11CD3" w:rsidRDefault="72B11CD3" w:rsidP="72B11CD3">
      <w:r>
        <w:t>The SageBush review highlighted the need for WorkSafe NZ to be clear on its role and hence its strategy for engaging. However, given the breadth of its scope under HSWA it is highly susceptible to being called into areas it knows little about</w:t>
      </w:r>
      <w:r w:rsidR="3703D314">
        <w:t>, whilst applying only limited resources to major areas of risk such as psychosocial harm or occupational disease.</w:t>
      </w:r>
    </w:p>
    <w:p w14:paraId="46CE18AB" w14:textId="0B13634F" w:rsidR="72B11CD3" w:rsidRDefault="72B11CD3" w:rsidP="72B11CD3"/>
    <w:p w14:paraId="2F74045E" w14:textId="18BF0F93" w:rsidR="72B11CD3" w:rsidRDefault="72B11CD3" w:rsidP="72B11CD3">
      <w:r>
        <w:t xml:space="preserve">Finally, there is the issue of who regulates the health and safety of WorkSafe’s staff. It is inappropriate to either leave them without protection under HSWA or to expect WorkSafe NZ to regulate itself.  </w:t>
      </w:r>
    </w:p>
    <w:p w14:paraId="1BBC0A56" w14:textId="1D88E1E7" w:rsidR="72B11CD3" w:rsidRDefault="72B11CD3" w:rsidP="72B11CD3"/>
    <w:p w14:paraId="47893481" w14:textId="55ED9FD4" w:rsidR="00F23BA7" w:rsidRDefault="72B11CD3" w:rsidP="00F23BA7">
      <w:pPr>
        <w:pStyle w:val="Heading2"/>
        <w:rPr>
          <w:b/>
          <w:bCs/>
        </w:rPr>
      </w:pPr>
      <w:bookmarkStart w:id="24" w:name="_Toc177397980"/>
      <w:r w:rsidRPr="00124FFF">
        <w:rPr>
          <w:b/>
          <w:bCs/>
        </w:rPr>
        <w:t>WorkSafe's strategy, mindset and perspective</w:t>
      </w:r>
      <w:bookmarkEnd w:id="24"/>
      <w:r w:rsidR="00124FFF">
        <w:rPr>
          <w:b/>
          <w:bCs/>
        </w:rPr>
        <w:t xml:space="preserve"> </w:t>
      </w:r>
    </w:p>
    <w:p w14:paraId="5B3C7A80" w14:textId="57D5003B" w:rsidR="72B11CD3" w:rsidRDefault="72B11CD3" w:rsidP="72B11CD3">
      <w:r>
        <w:t>WorkSafe’s most recent strategy and operational plans demonstrate a somewhat simplistic view of its role. The critique of WorkSafe NZ contained in the Business Leaders</w:t>
      </w:r>
      <w:r w:rsidR="001F1A87">
        <w:t>’</w:t>
      </w:r>
      <w:r>
        <w:t xml:space="preserve"> Health and Safety Forum report (State of a Thriving Nation 2024) is accurate in our view and shows how poorly it understands its place in the health and safety ecosystem compared to more mature regulators such as the HSE.</w:t>
      </w:r>
    </w:p>
    <w:p w14:paraId="07FE7A57" w14:textId="047DE711" w:rsidR="72B11CD3" w:rsidRDefault="72B11CD3" w:rsidP="72B11CD3"/>
    <w:p w14:paraId="2CC028DF" w14:textId="3C718938" w:rsidR="72B11CD3" w:rsidRDefault="72B11CD3" w:rsidP="72B11CD3">
      <w:r>
        <w:t>It is still very transactional in its approach seeking to identify individual workplaces and activities to target –</w:t>
      </w:r>
      <w:r w:rsidR="008B73DA">
        <w:t xml:space="preserve"> </w:t>
      </w:r>
      <w:r>
        <w:t xml:space="preserve">yet without a strong evidence base on which to do so. A recent </w:t>
      </w:r>
      <w:r w:rsidR="4F0B7E1A">
        <w:t>OIA request</w:t>
      </w:r>
      <w:r w:rsidR="1EF3F5D0">
        <w:t xml:space="preserve"> (240102)</w:t>
      </w:r>
      <w:r>
        <w:t xml:space="preserve"> highlighted that the majority of its proactive interventions are not to places it has </w:t>
      </w:r>
      <w:r w:rsidR="384EA874">
        <w:t>identified</w:t>
      </w:r>
      <w:r>
        <w:t xml:space="preserve"> as high risk</w:t>
      </w:r>
      <w:r w:rsidR="76B542E5">
        <w:t xml:space="preserve"> and that the Company Risk Model is not even used when triaging reportable events</w:t>
      </w:r>
      <w:r w:rsidR="75AA7B3E">
        <w:t>.</w:t>
      </w:r>
    </w:p>
    <w:p w14:paraId="009BEED6" w14:textId="589527B9" w:rsidR="06097C81" w:rsidRDefault="06097C81" w:rsidP="06097C81"/>
    <w:p w14:paraId="72145C58" w14:textId="6D955AE6" w:rsidR="6DFDF74E" w:rsidRDefault="6DFDF74E" w:rsidP="06097C81">
      <w:pPr>
        <w:spacing w:line="259" w:lineRule="auto"/>
      </w:pPr>
      <w:r>
        <w:t>System level interventions such as with upstream duty holders who import or supply equipment for use at work are virtually non-exist</w:t>
      </w:r>
      <w:r w:rsidR="609BE22C">
        <w:t xml:space="preserve">ent and uncoordinated.  For example, it is possible to supply a </w:t>
      </w:r>
      <w:r w:rsidR="1D1906E9">
        <w:t>brand-new</w:t>
      </w:r>
      <w:r w:rsidR="609BE22C">
        <w:t xml:space="preserve"> workplace vehicle without fitting reversing cameras and </w:t>
      </w:r>
      <w:r w:rsidR="59F43C8C">
        <w:t xml:space="preserve">extra </w:t>
      </w:r>
      <w:r w:rsidR="609BE22C">
        <w:t>mirro</w:t>
      </w:r>
      <w:r w:rsidR="59860FE1">
        <w:t>r</w:t>
      </w:r>
      <w:r w:rsidR="609BE22C">
        <w:t xml:space="preserve">s to reduce </w:t>
      </w:r>
      <w:r w:rsidR="621F49D5">
        <w:t>blind spots</w:t>
      </w:r>
      <w:r w:rsidR="15B7E9DA">
        <w:t>,</w:t>
      </w:r>
      <w:r w:rsidR="4A8CD227">
        <w:t xml:space="preserve"> despite this being one of the most common causes of workplace death and injury. </w:t>
      </w:r>
    </w:p>
    <w:p w14:paraId="560956FA" w14:textId="77777777" w:rsidR="005C1B74" w:rsidRDefault="005C1B74" w:rsidP="06097C81">
      <w:pPr>
        <w:spacing w:line="259" w:lineRule="auto"/>
      </w:pPr>
    </w:p>
    <w:p w14:paraId="09E254E4" w14:textId="35BBABC7" w:rsidR="06097C81" w:rsidRDefault="3F0C8998" w:rsidP="06097C81">
      <w:pPr>
        <w:spacing w:line="259" w:lineRule="auto"/>
      </w:pPr>
      <w:r>
        <w:lastRenderedPageBreak/>
        <w:t>Similarly,</w:t>
      </w:r>
      <w:r w:rsidR="2C49333B">
        <w:t xml:space="preserve"> our members see multiple examples of machinery</w:t>
      </w:r>
      <w:r w:rsidR="5973F30E">
        <w:t xml:space="preserve"> t</w:t>
      </w:r>
      <w:r w:rsidR="2C49333B">
        <w:t>hat is supp</w:t>
      </w:r>
      <w:r w:rsidR="4762A3EE">
        <w:t>l</w:t>
      </w:r>
      <w:r w:rsidR="2C49333B">
        <w:t xml:space="preserve">ied that </w:t>
      </w:r>
      <w:bookmarkStart w:id="25" w:name="_Int_q2bhOV14"/>
      <w:r w:rsidR="2C49333B">
        <w:t>does</w:t>
      </w:r>
      <w:bookmarkEnd w:id="25"/>
      <w:r w:rsidR="2C49333B">
        <w:t xml:space="preserve"> not meet AS4024 (the machinery guarding standard)</w:t>
      </w:r>
      <w:r w:rsidR="4C1A699F">
        <w:t>. Approaching individual users to ask about their procurement policies is far less effective than collectively engaging all the suppliers of particular high</w:t>
      </w:r>
      <w:r w:rsidR="0A4CE56C">
        <w:t>-</w:t>
      </w:r>
      <w:r w:rsidR="4C1A699F">
        <w:t xml:space="preserve">risk </w:t>
      </w:r>
      <w:bookmarkStart w:id="26" w:name="_Int_UQ0Jn32o"/>
      <w:r w:rsidR="4C1A699F">
        <w:t>plant</w:t>
      </w:r>
      <w:bookmarkEnd w:id="26"/>
      <w:r w:rsidR="4C1A699F">
        <w:t xml:space="preserve"> to work on a plan to raise the bar.</w:t>
      </w:r>
      <w:r w:rsidR="72BF054F">
        <w:t xml:space="preserve">  Unless New Zealand stems the tide of unsafe equipment coming into the country it will only make the job of identifying and rectifying it at a workplace level that much harder.</w:t>
      </w:r>
    </w:p>
    <w:p w14:paraId="06B53FD7" w14:textId="3436FB9B" w:rsidR="06097C81" w:rsidRDefault="06097C81" w:rsidP="06097C81">
      <w:pPr>
        <w:spacing w:line="259" w:lineRule="auto"/>
      </w:pPr>
    </w:p>
    <w:p w14:paraId="2AF657E4" w14:textId="3F06D974" w:rsidR="25BD4526" w:rsidRDefault="25BD4526" w:rsidP="06097C81">
      <w:pPr>
        <w:spacing w:line="259" w:lineRule="auto"/>
      </w:pPr>
      <w:r>
        <w:t>In other areas we have unnecessarily different standards for common risks such as protective structures on forestry machinery</w:t>
      </w:r>
      <w:r w:rsidR="14113BAD">
        <w:t xml:space="preserve"> that are covered by a 1999 Approved Code of Practice that is out of line with international standards and hence adds significant costs to purchasers</w:t>
      </w:r>
      <w:r w:rsidR="1A979DAC">
        <w:t>.</w:t>
      </w:r>
    </w:p>
    <w:p w14:paraId="39F60E4A" w14:textId="3D6B81FD" w:rsidR="06097C81" w:rsidRDefault="06097C81" w:rsidP="06097C81">
      <w:pPr>
        <w:spacing w:line="259" w:lineRule="auto"/>
      </w:pPr>
    </w:p>
    <w:p w14:paraId="07F04343" w14:textId="53DCD6D8" w:rsidR="06097C81" w:rsidRDefault="20772DEC" w:rsidP="001B63D0">
      <w:pPr>
        <w:spacing w:line="259" w:lineRule="auto"/>
      </w:pPr>
      <w:r>
        <w:t>Recent experience has indicated a vacuum in WorkSafe’s capability to engage with directors to use the officer duty to po</w:t>
      </w:r>
      <w:r w:rsidR="40111249">
        <w:t>sitive effect.  Despite multiple offers of assistance</w:t>
      </w:r>
      <w:r w:rsidR="46ACC337">
        <w:t>,</w:t>
      </w:r>
      <w:r w:rsidR="40111249">
        <w:t xml:space="preserve"> it is only recently that it agreed to fund the development of the new Good Governance Guide and endor</w:t>
      </w:r>
      <w:r w:rsidR="1393E6C1">
        <w:t>s</w:t>
      </w:r>
      <w:r w:rsidR="40111249">
        <w:t>e it. But it ha</w:t>
      </w:r>
      <w:r w:rsidR="5BED5E3F">
        <w:t>s no inter</w:t>
      </w:r>
      <w:r w:rsidR="35FF6CDE">
        <w:t>vention strategy to engage with this important segm</w:t>
      </w:r>
      <w:r w:rsidR="3659C5D1">
        <w:t>e</w:t>
      </w:r>
      <w:r w:rsidR="35FF6CDE">
        <w:t>nt of the market either proactively or reactively</w:t>
      </w:r>
      <w:r w:rsidR="199D6D75">
        <w:t xml:space="preserve"> and as a result has </w:t>
      </w:r>
      <w:r w:rsidR="63D68E94">
        <w:t>failed</w:t>
      </w:r>
      <w:r w:rsidR="199D6D75">
        <w:t xml:space="preserve"> to </w:t>
      </w:r>
      <w:r w:rsidR="766D8A9F">
        <w:t>capitalise</w:t>
      </w:r>
      <w:r w:rsidR="199D6D75">
        <w:t xml:space="preserve"> on the opportunity provided after Pike River</w:t>
      </w:r>
      <w:r w:rsidR="1B70CB14">
        <w:t xml:space="preserve">, </w:t>
      </w:r>
      <w:r w:rsidR="1619CECE">
        <w:t>highlighted</w:t>
      </w:r>
      <w:r w:rsidR="1B70CB14">
        <w:t xml:space="preserve"> by the Independent Taskforce</w:t>
      </w:r>
      <w:r w:rsidR="199D6D75">
        <w:t xml:space="preserve"> and </w:t>
      </w:r>
      <w:r w:rsidR="38C9C498">
        <w:t xml:space="preserve">enabled </w:t>
      </w:r>
      <w:r w:rsidR="199D6D75">
        <w:t xml:space="preserve">through the </w:t>
      </w:r>
      <w:r w:rsidR="28F0DC12">
        <w:t>legislative</w:t>
      </w:r>
      <w:r w:rsidR="199D6D75">
        <w:t xml:space="preserve"> change</w:t>
      </w:r>
      <w:r w:rsidR="4CECFD0A">
        <w:t>.</w:t>
      </w:r>
    </w:p>
    <w:p w14:paraId="35BA9637" w14:textId="77777777" w:rsidR="0080291F" w:rsidRPr="00684703" w:rsidRDefault="0080291F" w:rsidP="001B63D0">
      <w:pPr>
        <w:spacing w:line="259" w:lineRule="auto"/>
        <w:rPr>
          <w:u w:val="single"/>
        </w:rPr>
      </w:pPr>
    </w:p>
    <w:p w14:paraId="6DED85EA" w14:textId="258C4258" w:rsidR="0080291F" w:rsidRPr="00684703" w:rsidRDefault="0080291F" w:rsidP="001B63D0">
      <w:pPr>
        <w:spacing w:line="259" w:lineRule="auto"/>
        <w:rPr>
          <w:u w:val="single"/>
        </w:rPr>
      </w:pPr>
      <w:r w:rsidRPr="00684703">
        <w:rPr>
          <w:u w:val="single"/>
        </w:rPr>
        <w:t>We recommend that WorkSafe amends its strategy to provide greater focus on:</w:t>
      </w:r>
    </w:p>
    <w:p w14:paraId="185609DB" w14:textId="54A6954C" w:rsidR="00000994" w:rsidRPr="00684703" w:rsidRDefault="00000994" w:rsidP="00684703">
      <w:pPr>
        <w:pStyle w:val="ListParagraph"/>
        <w:numPr>
          <w:ilvl w:val="0"/>
          <w:numId w:val="47"/>
        </w:numPr>
        <w:spacing w:line="259" w:lineRule="auto"/>
        <w:rPr>
          <w:u w:val="single"/>
        </w:rPr>
      </w:pPr>
      <w:r w:rsidRPr="00684703">
        <w:rPr>
          <w:u w:val="single"/>
        </w:rPr>
        <w:t>Targeting high risk businesses (via an intelligence-led approach)</w:t>
      </w:r>
    </w:p>
    <w:p w14:paraId="13D45046" w14:textId="32A0E233" w:rsidR="0080291F" w:rsidRPr="00684703" w:rsidRDefault="00684703" w:rsidP="00684703">
      <w:pPr>
        <w:pStyle w:val="ListParagraph"/>
        <w:numPr>
          <w:ilvl w:val="0"/>
          <w:numId w:val="47"/>
        </w:numPr>
        <w:spacing w:line="259" w:lineRule="auto"/>
        <w:rPr>
          <w:u w:val="single"/>
        </w:rPr>
      </w:pPr>
      <w:r w:rsidRPr="00684703">
        <w:rPr>
          <w:u w:val="single"/>
        </w:rPr>
        <w:t>Importers and manufacturers of workplace equipment</w:t>
      </w:r>
    </w:p>
    <w:p w14:paraId="21DC3AC7" w14:textId="1B023673" w:rsidR="00684703" w:rsidRPr="00684703" w:rsidRDefault="00684703" w:rsidP="00684703">
      <w:pPr>
        <w:pStyle w:val="ListParagraph"/>
        <w:numPr>
          <w:ilvl w:val="0"/>
          <w:numId w:val="47"/>
        </w:numPr>
        <w:spacing w:line="259" w:lineRule="auto"/>
        <w:rPr>
          <w:u w:val="single"/>
        </w:rPr>
      </w:pPr>
      <w:r w:rsidRPr="00684703">
        <w:rPr>
          <w:u w:val="single"/>
        </w:rPr>
        <w:t>Engagement with directors</w:t>
      </w:r>
    </w:p>
    <w:p w14:paraId="69662038" w14:textId="77777777" w:rsidR="00E33FAA" w:rsidRPr="001B63D0" w:rsidRDefault="00E33FAA" w:rsidP="001B63D0">
      <w:pPr>
        <w:spacing w:line="259" w:lineRule="auto"/>
      </w:pPr>
    </w:p>
    <w:p w14:paraId="475E576A" w14:textId="10F5E3D9" w:rsidR="4CECFD0A" w:rsidRPr="001B63D0" w:rsidRDefault="4CECFD0A" w:rsidP="001B63D0">
      <w:pPr>
        <w:pStyle w:val="Heading2"/>
        <w:rPr>
          <w:b/>
          <w:bCs/>
        </w:rPr>
      </w:pPr>
      <w:bookmarkStart w:id="27" w:name="_Toc177397981"/>
      <w:r w:rsidRPr="001B63D0">
        <w:t>The need for an intelligent regulator supported by highly skilled people</w:t>
      </w:r>
      <w:bookmarkEnd w:id="27"/>
      <w:r w:rsidR="047489C2" w:rsidRPr="001B63D0">
        <w:t xml:space="preserve"> </w:t>
      </w:r>
    </w:p>
    <w:p w14:paraId="36076001" w14:textId="43CCC5B8" w:rsidR="1A979DAC" w:rsidRDefault="1A979DAC" w:rsidP="06097C81">
      <w:pPr>
        <w:spacing w:line="259" w:lineRule="auto"/>
      </w:pPr>
      <w:r>
        <w:t>WorkSafe NZ has, with a few exceptions such as the High Hazard Unit, failed to employ</w:t>
      </w:r>
      <w:r w:rsidR="7EC421A2">
        <w:t xml:space="preserve"> and develop</w:t>
      </w:r>
      <w:r>
        <w:t xml:space="preserve"> front line staff (all those that engage with industry</w:t>
      </w:r>
      <w:r w:rsidR="3B4F1971">
        <w:t xml:space="preserve"> whether or not having a warrant)</w:t>
      </w:r>
      <w:r>
        <w:t xml:space="preserve"> </w:t>
      </w:r>
      <w:r w:rsidR="189EA8D8">
        <w:t>to</w:t>
      </w:r>
      <w:r>
        <w:t xml:space="preserve"> a level </w:t>
      </w:r>
      <w:r w:rsidR="26449840">
        <w:t xml:space="preserve">commensurate with the complexity of the issues and contexts within which they are working.  The word </w:t>
      </w:r>
      <w:r w:rsidR="26449840" w:rsidRPr="06097C81">
        <w:rPr>
          <w:b/>
          <w:bCs/>
        </w:rPr>
        <w:t>complex</w:t>
      </w:r>
      <w:r w:rsidR="00B13978">
        <w:rPr>
          <w:b/>
          <w:bCs/>
        </w:rPr>
        <w:t>ity</w:t>
      </w:r>
      <w:r w:rsidR="26449840">
        <w:t xml:space="preserve"> is used advisedly as </w:t>
      </w:r>
      <w:r w:rsidR="3BD2EF67">
        <w:t>workplace health and safety is not just complicated but particularly challenging to influence given the com</w:t>
      </w:r>
      <w:r w:rsidR="228CC42C">
        <w:t>p</w:t>
      </w:r>
      <w:r w:rsidR="3BD2EF67">
        <w:t>lex and dynamic ecos</w:t>
      </w:r>
      <w:r w:rsidR="7BF6CBC9">
        <w:t>ystem</w:t>
      </w:r>
      <w:r w:rsidR="42653ED1">
        <w:t xml:space="preserve"> it exists in</w:t>
      </w:r>
      <w:r w:rsidR="7BF6CBC9">
        <w:t xml:space="preserve">, </w:t>
      </w:r>
      <w:r w:rsidR="3F579647">
        <w:t xml:space="preserve">national and international political, </w:t>
      </w:r>
      <w:r w:rsidR="7BF6CBC9">
        <w:t>economic and social factors</w:t>
      </w:r>
      <w:r w:rsidR="31434C0A">
        <w:t xml:space="preserve"> that influence it, rapidly changing technology, the local demographic of workplaces and</w:t>
      </w:r>
      <w:r w:rsidR="51518342">
        <w:t xml:space="preserve"> workers, changing public tolerance of risk etc.  </w:t>
      </w:r>
      <w:r w:rsidR="0C33B01F">
        <w:t>Many</w:t>
      </w:r>
      <w:r w:rsidR="51518342">
        <w:t xml:space="preserve"> of these factors were identified in the recent FutureSafe </w:t>
      </w:r>
      <w:r w:rsidR="776AF980">
        <w:t>Aotearoa</w:t>
      </w:r>
      <w:r w:rsidR="51518342">
        <w:t xml:space="preserve"> report</w:t>
      </w:r>
      <w:r w:rsidR="384CD178">
        <w:t>.</w:t>
      </w:r>
    </w:p>
    <w:p w14:paraId="6C424544" w14:textId="5342C860" w:rsidR="06097C81" w:rsidRDefault="06097C81" w:rsidP="06097C81">
      <w:pPr>
        <w:spacing w:line="259" w:lineRule="auto"/>
      </w:pPr>
    </w:p>
    <w:p w14:paraId="6F37B772" w14:textId="24683D29" w:rsidR="384CD178" w:rsidRPr="00A85B44" w:rsidRDefault="384CD178" w:rsidP="06097C81">
      <w:pPr>
        <w:spacing w:line="259" w:lineRule="auto"/>
        <w:rPr>
          <w:u w:val="single"/>
        </w:rPr>
      </w:pPr>
      <w:r>
        <w:t xml:space="preserve">In our view, </w:t>
      </w:r>
      <w:r w:rsidRPr="00A85B44">
        <w:rPr>
          <w:u w:val="single"/>
        </w:rPr>
        <w:t>WorkSafe NZ needs to lift its aspirations and shift it</w:t>
      </w:r>
      <w:r w:rsidR="0B72981E" w:rsidRPr="00A85B44">
        <w:rPr>
          <w:u w:val="single"/>
        </w:rPr>
        <w:t>s focus to being more strategic, trusted, authoritative, respected (</w:t>
      </w:r>
      <w:r w:rsidR="13F29B38" w:rsidRPr="00A85B44">
        <w:rPr>
          <w:u w:val="single"/>
        </w:rPr>
        <w:t>and</w:t>
      </w:r>
      <w:r w:rsidR="0B72981E" w:rsidRPr="00A85B44">
        <w:rPr>
          <w:u w:val="single"/>
        </w:rPr>
        <w:t xml:space="preserve"> </w:t>
      </w:r>
      <w:r w:rsidR="0AECC735" w:rsidRPr="00A85B44">
        <w:rPr>
          <w:u w:val="single"/>
        </w:rPr>
        <w:t>slightly</w:t>
      </w:r>
      <w:r w:rsidR="0B72981E" w:rsidRPr="00A85B44">
        <w:rPr>
          <w:u w:val="single"/>
        </w:rPr>
        <w:t xml:space="preserve"> feare</w:t>
      </w:r>
      <w:r w:rsidR="3D9C4677" w:rsidRPr="00A85B44">
        <w:rPr>
          <w:u w:val="single"/>
        </w:rPr>
        <w:t xml:space="preserve">d) </w:t>
      </w:r>
      <w:r w:rsidR="483E0B86" w:rsidRPr="00A85B44">
        <w:rPr>
          <w:u w:val="single"/>
        </w:rPr>
        <w:t xml:space="preserve">and visible to its </w:t>
      </w:r>
      <w:r w:rsidR="483E0B86" w:rsidRPr="00A85B44">
        <w:rPr>
          <w:u w:val="single"/>
        </w:rPr>
        <w:lastRenderedPageBreak/>
        <w:t>stakeholders.</w:t>
      </w:r>
      <w:r w:rsidR="1C8B6E05" w:rsidRPr="00A85B44">
        <w:rPr>
          <w:u w:val="single"/>
        </w:rPr>
        <w:t xml:space="preserve"> It needs to reflect on the skills its staff will need now and for the future and work with tertiary institutions, professional bodies and overseas regulators to help create the standards and </w:t>
      </w:r>
      <w:r w:rsidR="76757CEB" w:rsidRPr="00A85B44">
        <w:rPr>
          <w:u w:val="single"/>
        </w:rPr>
        <w:t>educational and vocational opportunities it needs for the next 20 years.</w:t>
      </w:r>
    </w:p>
    <w:p w14:paraId="4A6460F0" w14:textId="77777777" w:rsidR="00024FF1" w:rsidRDefault="00024FF1" w:rsidP="06097C81">
      <w:pPr>
        <w:spacing w:line="259" w:lineRule="auto"/>
      </w:pPr>
    </w:p>
    <w:p w14:paraId="7D94A8BB" w14:textId="21C9ED47" w:rsidR="76757CEB" w:rsidRDefault="76757CEB" w:rsidP="06097C81">
      <w:pPr>
        <w:spacing w:line="259" w:lineRule="auto"/>
      </w:pPr>
      <w:r>
        <w:t>As one former Chief Executive of WorkSafe stated in a private conversation “I would rather have fewer of the right people than more of the current ones”</w:t>
      </w:r>
      <w:r w:rsidR="4060C90D">
        <w:t xml:space="preserve"> but given the internationally low ratio of inspectors to workers in New Zealand, it may be more an issue of quantity and quality.</w:t>
      </w:r>
    </w:p>
    <w:p w14:paraId="0E4FD3FE" w14:textId="77777777" w:rsidR="00024FF1" w:rsidRDefault="00024FF1" w:rsidP="06097C81">
      <w:pPr>
        <w:spacing w:line="259" w:lineRule="auto"/>
      </w:pPr>
    </w:p>
    <w:p w14:paraId="1E143885" w14:textId="1E41FABD" w:rsidR="00024FF1" w:rsidRDefault="00024FF1" w:rsidP="06097C81">
      <w:pPr>
        <w:spacing w:line="259" w:lineRule="auto"/>
      </w:pPr>
      <w:r>
        <w:t>The latest Business Leaders State of Thriving Nation Report (2024) has the following comparison of relative inspector numbers:</w:t>
      </w:r>
    </w:p>
    <w:p w14:paraId="114759D5" w14:textId="1359A82D" w:rsidR="00024FF1" w:rsidRDefault="00024FF1" w:rsidP="06097C81">
      <w:pPr>
        <w:spacing w:line="259" w:lineRule="auto"/>
      </w:pPr>
      <w:r w:rsidRPr="00024FF1">
        <w:rPr>
          <w:noProof/>
        </w:rPr>
        <mc:AlternateContent>
          <mc:Choice Requires="wps">
            <w:drawing>
              <wp:anchor distT="0" distB="0" distL="114300" distR="114300" simplePos="0" relativeHeight="251659264" behindDoc="0" locked="0" layoutInCell="1" allowOverlap="1" wp14:anchorId="3CF29C07" wp14:editId="0058277B">
                <wp:simplePos x="0" y="0"/>
                <wp:positionH relativeFrom="column">
                  <wp:posOffset>223025</wp:posOffset>
                </wp:positionH>
                <wp:positionV relativeFrom="paragraph">
                  <wp:posOffset>4247980</wp:posOffset>
                </wp:positionV>
                <wp:extent cx="5105400" cy="341632"/>
                <wp:effectExtent l="0" t="0" r="0" b="1270"/>
                <wp:wrapNone/>
                <wp:docPr id="3" name="Text 1">
                  <a:extLst xmlns:a="http://schemas.openxmlformats.org/drawingml/2006/main">
                    <a:ext uri="{FF2B5EF4-FFF2-40B4-BE49-F238E27FC236}">
                      <a16:creationId xmlns:a16="http://schemas.microsoft.com/office/drawing/2014/main" id="{22FF2886-71C3-98D8-8B8D-A8EA7DDE8A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4163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cdr="http://schemas.openxmlformats.org/drawingml/2006/chartDrawing" xmlns:c="http://schemas.openxmlformats.org/drawingml/2006/chart" xmlns:lc="http://schemas.openxmlformats.org/drawingml/2006/lockedCanvas">
                              <a:solidFill>
                                <a:srgbClr xmlns:mc="http://schemas.openxmlformats.org/markup-compatibility/2006" val="000000" mc:Ignorable="a14" a14:legacySpreadsheetColorIndex="64"/>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cdr="http://schemas.openxmlformats.org/drawingml/2006/chartDrawing" xmlns:c="http://schemas.openxmlformats.org/drawingml/2006/chart" xmlns:lc="http://schemas.openxmlformats.org/drawingml/2006/lockedCanvas" w="1">
                              <a:solidFill>
                                <a:srgbClr xmlns:mc="http://schemas.openxmlformats.org/markup-compatibility/2006" val="FFFFFF" mc:Ignorable="a14" a14:legacySpreadsheetColorIndex="65"/>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cdr="http://schemas.openxmlformats.org/drawingml/2006/chartDrawing" xmlns:c="http://schemas.openxmlformats.org/drawingml/2006/chart" xmlns:lc="http://schemas.openxmlformats.org/drawingml/2006/lockedCanvas">
                              <a:effectLst>
                                <a:outerShdw dist="35921" dir="2700000" algn="ctr" rotWithShape="0">
                                  <a:srgbClr val="808080"/>
                                </a:outerShdw>
                              </a:effectLst>
                            </a14:hiddenEffects>
                          </a:ext>
                        </a:extLst>
                      </wps:spPr>
                      <wps:txbx>
                        <w:txbxContent>
                          <w:p w14:paraId="091936FD" w14:textId="77777777" w:rsidR="00024FF1" w:rsidRDefault="00024FF1" w:rsidP="00024FF1">
                            <w:pPr>
                              <w:textAlignment w:val="baseline"/>
                              <w:rPr>
                                <w:rFonts w:ascii="Microsoft GothicNeo" w:eastAsia="Microsoft GothicNeo" w:hAnsi="Microsoft GothicNeo" w:cs="Microsoft GothicNeo"/>
                                <w:color w:val="7F7F7F" w:themeColor="text1" w:themeTint="80"/>
                                <w:kern w:val="24"/>
                                <w:sz w:val="18"/>
                                <w:szCs w:val="18"/>
                                <w14:ligatures w14:val="none"/>
                              </w:rPr>
                            </w:pPr>
                            <w:r>
                              <w:rPr>
                                <w:rFonts w:ascii="Microsoft GothicNeo" w:eastAsia="Microsoft GothicNeo" w:hAnsi="Microsoft GothicNeo" w:cs="Microsoft GothicNeo" w:hint="eastAsia"/>
                                <w:color w:val="7F7F7F" w:themeColor="text1" w:themeTint="80"/>
                                <w:kern w:val="24"/>
                                <w:sz w:val="18"/>
                                <w:szCs w:val="18"/>
                              </w:rPr>
                              <w:t xml:space="preserve">Source: Safe Work Australia (2023). Comparative Performance Monitoring Report 25/ Work Health and Safety Performance.  </w:t>
                            </w:r>
                          </w:p>
                        </w:txbxContent>
                      </wps:txbx>
                      <wps:bodyPr wrap="square" lIns="27432" tIns="32004" rIns="0" bIns="32004" anchor="ctr" upright="1">
                        <a:spAutoFit/>
                      </wps:bodyPr>
                    </wps:wsp>
                  </a:graphicData>
                </a:graphic>
              </wp:anchor>
            </w:drawing>
          </mc:Choice>
          <mc:Fallback>
            <w:pict>
              <v:shapetype w14:anchorId="3CF29C07" id="_x0000_t202" coordsize="21600,21600" o:spt="202" path="m,l,21600r21600,l21600,xe">
                <v:stroke joinstyle="miter"/>
                <v:path gradientshapeok="t" o:connecttype="rect"/>
              </v:shapetype>
              <v:shape id="Text 1" o:spid="_x0000_s1026" type="#_x0000_t202" style="position:absolute;margin-left:17.55pt;margin-top:334.5pt;width:402pt;height:2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" filled="f" stroked="f">
                <v:textbox style="mso-fit-shape-to-text:t" inset="2.16pt,2.52pt,0,2.52pt">
                  <w:txbxContent>
                    <w:p w14:paraId="091936FD" w14:textId="77777777" w:rsidR="00024FF1" w:rsidRDefault="00024FF1" w:rsidP="00024FF1">
                      <w:pPr>
                        <w:textAlignment w:val="baseline"/>
                        <w:rPr>
                          <w:rFonts w:ascii="Microsoft GothicNeo" w:eastAsia="Microsoft GothicNeo" w:hAnsi="Microsoft GothicNeo" w:cs="Microsoft GothicNeo"/>
                          <w:color w:val="7F7F7F" w:themeColor="text1" w:themeTint="80"/>
                          <w:kern w:val="24"/>
                          <w:sz w:val="18"/>
                          <w:szCs w:val="18"/>
                          <w14:ligatures w14:val="none"/>
                        </w:rPr>
                      </w:pPr>
                      <w:r>
                        <w:rPr>
                          <w:rFonts w:ascii="Microsoft GothicNeo" w:eastAsia="Microsoft GothicNeo" w:hAnsi="Microsoft GothicNeo" w:cs="Microsoft GothicNeo" w:hint="eastAsia"/>
                          <w:color w:val="7F7F7F" w:themeColor="text1" w:themeTint="80"/>
                          <w:kern w:val="24"/>
                          <w:sz w:val="18"/>
                          <w:szCs w:val="18"/>
                        </w:rPr>
                        <w:t xml:space="preserve">Source: Safe Work Australia (2023). Comparative Performance Monitoring Report 25/ Work Health and Safety Performance.  </w:t>
                      </w:r>
                    </w:p>
                  </w:txbxContent>
                </v:textbox>
              </v:shape>
            </w:pict>
          </mc:Fallback>
        </mc:AlternateContent>
      </w:r>
      <w:r w:rsidRPr="00024FF1">
        <w:rPr>
          <w:noProof/>
        </w:rPr>
        <w:drawing>
          <wp:inline distT="0" distB="0" distL="0" distR="0" wp14:anchorId="42313EC0" wp14:editId="09C4E9A6">
            <wp:extent cx="5181600" cy="4351338"/>
            <wp:effectExtent l="0" t="0" r="0" b="5080"/>
            <wp:docPr id="1204733430" name="Chart 1">
              <a:extLst xmlns:a="http://schemas.openxmlformats.org/drawingml/2006/main">
                <a:ext uri="{FF2B5EF4-FFF2-40B4-BE49-F238E27FC236}">
                  <a16:creationId xmlns:a16="http://schemas.microsoft.com/office/drawing/2014/main" id="{9AA0F894-6CA4-4A2A-8573-351391925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84B6D8" w14:textId="0EEA6F40" w:rsidR="06097C81" w:rsidRDefault="06097C81" w:rsidP="06097C81">
      <w:pPr>
        <w:spacing w:line="259" w:lineRule="auto"/>
      </w:pPr>
    </w:p>
    <w:p w14:paraId="0D97CF07" w14:textId="77777777" w:rsidR="00024FF1" w:rsidRDefault="00024FF1" w:rsidP="06097C81">
      <w:pPr>
        <w:spacing w:line="259" w:lineRule="auto"/>
        <w:rPr>
          <w:rStyle w:val="Strong"/>
        </w:rPr>
      </w:pPr>
    </w:p>
    <w:p w14:paraId="2AD5D563" w14:textId="784486D0" w:rsidR="00024FF1" w:rsidRPr="003F29C1" w:rsidRDefault="00024FF1" w:rsidP="06097C81">
      <w:pPr>
        <w:spacing w:line="259" w:lineRule="auto"/>
        <w:rPr>
          <w:rStyle w:val="Strong"/>
          <w:b w:val="0"/>
          <w:bCs w:val="0"/>
          <w:u w:val="single"/>
        </w:rPr>
      </w:pPr>
      <w:r w:rsidRPr="003F29C1">
        <w:rPr>
          <w:rStyle w:val="Strong"/>
          <w:b w:val="0"/>
          <w:bCs w:val="0"/>
          <w:u w:val="single"/>
        </w:rPr>
        <w:t>We recommend that WorkSafe undertakes an international benchmarking exercise (bringing in expertise from Australia and the United Kingdom) to understand:</w:t>
      </w:r>
    </w:p>
    <w:p w14:paraId="25DB3328" w14:textId="792DFB0D" w:rsidR="003F29C1" w:rsidRDefault="003F29C1" w:rsidP="00024FF1">
      <w:pPr>
        <w:pStyle w:val="ListParagraph"/>
        <w:numPr>
          <w:ilvl w:val="0"/>
          <w:numId w:val="46"/>
        </w:numPr>
        <w:spacing w:line="259" w:lineRule="auto"/>
        <w:rPr>
          <w:rStyle w:val="Strong"/>
          <w:b w:val="0"/>
          <w:bCs w:val="0"/>
          <w:u w:val="single"/>
        </w:rPr>
      </w:pPr>
      <w:r>
        <w:rPr>
          <w:rStyle w:val="Strong"/>
          <w:b w:val="0"/>
          <w:bCs w:val="0"/>
          <w:u w:val="single"/>
        </w:rPr>
        <w:t>Rat</w:t>
      </w:r>
      <w:r w:rsidR="00BE5754">
        <w:rPr>
          <w:rStyle w:val="Strong"/>
          <w:b w:val="0"/>
          <w:bCs w:val="0"/>
          <w:u w:val="single"/>
        </w:rPr>
        <w:t>ios of inspectors to working population and their distribution between industry and role types</w:t>
      </w:r>
    </w:p>
    <w:p w14:paraId="03FA6C7E" w14:textId="0532C2E1" w:rsidR="00024FF1" w:rsidRPr="003F29C1" w:rsidRDefault="00BE5754" w:rsidP="00024FF1">
      <w:pPr>
        <w:pStyle w:val="ListParagraph"/>
        <w:numPr>
          <w:ilvl w:val="0"/>
          <w:numId w:val="46"/>
        </w:numPr>
        <w:spacing w:line="259" w:lineRule="auto"/>
        <w:rPr>
          <w:rStyle w:val="Strong"/>
          <w:b w:val="0"/>
          <w:bCs w:val="0"/>
          <w:u w:val="single"/>
        </w:rPr>
      </w:pPr>
      <w:r>
        <w:rPr>
          <w:rStyle w:val="Strong"/>
          <w:b w:val="0"/>
          <w:bCs w:val="0"/>
          <w:u w:val="single"/>
        </w:rPr>
        <w:lastRenderedPageBreak/>
        <w:t>How inspectors in other jurisdictions are trained</w:t>
      </w:r>
      <w:r w:rsidR="00FC23BB">
        <w:rPr>
          <w:rStyle w:val="Strong"/>
          <w:b w:val="0"/>
          <w:bCs w:val="0"/>
          <w:u w:val="single"/>
        </w:rPr>
        <w:t xml:space="preserve"> and supervised as new, senior and specialist inspectors and how this compares to WorkSafe’s approach (including the question of sector specific training); and</w:t>
      </w:r>
    </w:p>
    <w:p w14:paraId="1818585A" w14:textId="248F5A4A" w:rsidR="003F29C1" w:rsidRPr="003F29C1" w:rsidRDefault="003F29C1" w:rsidP="00024FF1">
      <w:pPr>
        <w:pStyle w:val="ListParagraph"/>
        <w:numPr>
          <w:ilvl w:val="0"/>
          <w:numId w:val="46"/>
        </w:numPr>
        <w:spacing w:line="259" w:lineRule="auto"/>
        <w:rPr>
          <w:rStyle w:val="Strong"/>
          <w:b w:val="0"/>
          <w:bCs w:val="0"/>
          <w:u w:val="single"/>
        </w:rPr>
      </w:pPr>
      <w:r w:rsidRPr="003F29C1">
        <w:rPr>
          <w:rStyle w:val="Strong"/>
          <w:b w:val="0"/>
          <w:bCs w:val="0"/>
          <w:u w:val="single"/>
        </w:rPr>
        <w:t>Recruitment strategies of the Australian and United Kingdom regulators for inspectorate staff (including market relativities)</w:t>
      </w:r>
    </w:p>
    <w:p w14:paraId="4078B534" w14:textId="157E685A" w:rsidR="00132276" w:rsidRDefault="00132276" w:rsidP="06097C81">
      <w:pPr>
        <w:spacing w:line="259" w:lineRule="auto"/>
        <w:rPr>
          <w:rStyle w:val="Strong"/>
        </w:rPr>
      </w:pPr>
    </w:p>
    <w:p w14:paraId="5ABB9C13" w14:textId="17F948DD" w:rsidR="06097C81" w:rsidRPr="002F7F9F" w:rsidRDefault="03F83D2B" w:rsidP="002F7F9F">
      <w:pPr>
        <w:pStyle w:val="Heading2"/>
        <w:rPr>
          <w:rStyle w:val="Strong"/>
          <w:b w:val="0"/>
          <w:bCs w:val="0"/>
        </w:rPr>
      </w:pPr>
      <w:bookmarkStart w:id="28" w:name="_Toc177397982"/>
      <w:r w:rsidRPr="002F7F9F">
        <w:rPr>
          <w:b/>
          <w:bCs/>
        </w:rPr>
        <w:t>Sector engagement</w:t>
      </w:r>
      <w:bookmarkEnd w:id="28"/>
    </w:p>
    <w:p w14:paraId="06E21903" w14:textId="01984E9F" w:rsidR="03F83D2B" w:rsidRPr="002F7F9F" w:rsidRDefault="03F83D2B" w:rsidP="06097C81">
      <w:pPr>
        <w:spacing w:line="259" w:lineRule="auto"/>
        <w:rPr>
          <w:rFonts w:ascii="Aptos" w:hAnsi="Aptos"/>
        </w:rPr>
      </w:pPr>
      <w:r w:rsidRPr="002F7F9F">
        <w:rPr>
          <w:rFonts w:ascii="Aptos" w:hAnsi="Aptos"/>
        </w:rPr>
        <w:t>Market segmentation is vital given the different risks, maturity levels and relationships that exist. One</w:t>
      </w:r>
      <w:r w:rsidR="0A23A7B6" w:rsidRPr="002F7F9F">
        <w:rPr>
          <w:rFonts w:ascii="Aptos" w:hAnsi="Aptos"/>
        </w:rPr>
        <w:t xml:space="preserve"> </w:t>
      </w:r>
      <w:r w:rsidRPr="002F7F9F">
        <w:rPr>
          <w:rFonts w:ascii="Aptos" w:hAnsi="Aptos"/>
        </w:rPr>
        <w:t>of</w:t>
      </w:r>
      <w:r w:rsidR="3D30CB54" w:rsidRPr="002F7F9F">
        <w:rPr>
          <w:rFonts w:ascii="Aptos" w:hAnsi="Aptos"/>
        </w:rPr>
        <w:t xml:space="preserve"> </w:t>
      </w:r>
      <w:r w:rsidRPr="002F7F9F">
        <w:rPr>
          <w:rFonts w:ascii="Aptos" w:hAnsi="Aptos"/>
        </w:rPr>
        <w:t xml:space="preserve">the strengths of the </w:t>
      </w:r>
      <w:r w:rsidR="5F000F92" w:rsidRPr="002F7F9F">
        <w:rPr>
          <w:rFonts w:ascii="Aptos" w:hAnsi="Aptos"/>
        </w:rPr>
        <w:t xml:space="preserve">UK </w:t>
      </w:r>
      <w:r w:rsidRPr="002F7F9F">
        <w:rPr>
          <w:rFonts w:ascii="Aptos" w:hAnsi="Aptos"/>
        </w:rPr>
        <w:t>HSE approac</w:t>
      </w:r>
      <w:r w:rsidR="71B5F2E9" w:rsidRPr="002F7F9F">
        <w:rPr>
          <w:rFonts w:ascii="Aptos" w:hAnsi="Aptos"/>
        </w:rPr>
        <w:t xml:space="preserve">h </w:t>
      </w:r>
      <w:r w:rsidR="00757EA4" w:rsidRPr="002F7F9F">
        <w:rPr>
          <w:rFonts w:ascii="Aptos" w:hAnsi="Aptos"/>
        </w:rPr>
        <w:t>(</w:t>
      </w:r>
      <w:r w:rsidR="71B5F2E9" w:rsidRPr="002F7F9F">
        <w:rPr>
          <w:rFonts w:ascii="Aptos" w:hAnsi="Aptos"/>
        </w:rPr>
        <w:t>recognised in the 1972 Robens report</w:t>
      </w:r>
      <w:r w:rsidR="00757EA4" w:rsidRPr="002F7F9F">
        <w:rPr>
          <w:rFonts w:ascii="Aptos" w:hAnsi="Aptos"/>
        </w:rPr>
        <w:t>)</w:t>
      </w:r>
      <w:r w:rsidR="71B5F2E9" w:rsidRPr="002F7F9F">
        <w:rPr>
          <w:rFonts w:ascii="Aptos" w:hAnsi="Aptos"/>
        </w:rPr>
        <w:t>,</w:t>
      </w:r>
      <w:r w:rsidR="227AB71A" w:rsidRPr="002F7F9F">
        <w:rPr>
          <w:rFonts w:ascii="Aptos" w:hAnsi="Aptos"/>
        </w:rPr>
        <w:t xml:space="preserve"> is its strong sectoral links. </w:t>
      </w:r>
      <w:r w:rsidR="71B5F2E9" w:rsidRPr="002F7F9F">
        <w:rPr>
          <w:rFonts w:ascii="Aptos" w:hAnsi="Aptos"/>
        </w:rPr>
        <w:t xml:space="preserve"> </w:t>
      </w:r>
      <w:r w:rsidR="136465D6" w:rsidRPr="002F7F9F">
        <w:rPr>
          <w:rFonts w:ascii="Aptos" w:hAnsi="Aptos"/>
        </w:rPr>
        <w:t>Each of the priority sectors has a designated centre of excellence which acts as an internal and external focal point for engagement. This includes sector and worker bodies</w:t>
      </w:r>
      <w:r w:rsidR="2408F2C7" w:rsidRPr="002F7F9F">
        <w:rPr>
          <w:rFonts w:ascii="Aptos" w:hAnsi="Aptos"/>
        </w:rPr>
        <w:t>, trade associations and suppliers, policy makers, other sector regulators, inspectors and communications teams.  In many</w:t>
      </w:r>
      <w:r w:rsidR="6BEA1C94" w:rsidRPr="002F7F9F">
        <w:rPr>
          <w:rFonts w:ascii="Aptos" w:hAnsi="Aptos"/>
        </w:rPr>
        <w:t xml:space="preserve"> cases there is tripartite sector oversight through formal industry advisory committees that help identify priorities, direct </w:t>
      </w:r>
      <w:r w:rsidR="6C068BB4" w:rsidRPr="002F7F9F">
        <w:rPr>
          <w:rFonts w:ascii="Aptos" w:hAnsi="Aptos"/>
        </w:rPr>
        <w:t xml:space="preserve">resources and publish sector guidance. This co-regulatory </w:t>
      </w:r>
      <w:r w:rsidR="6B75AC39" w:rsidRPr="002F7F9F">
        <w:rPr>
          <w:rFonts w:ascii="Aptos" w:hAnsi="Aptos"/>
        </w:rPr>
        <w:t>model</w:t>
      </w:r>
      <w:r w:rsidR="6C068BB4" w:rsidRPr="002F7F9F">
        <w:rPr>
          <w:rFonts w:ascii="Aptos" w:hAnsi="Aptos"/>
        </w:rPr>
        <w:t xml:space="preserve"> ensures there is clarity of expectation –</w:t>
      </w:r>
      <w:r w:rsidR="00FB633E">
        <w:rPr>
          <w:rFonts w:ascii="Aptos" w:hAnsi="Aptos"/>
        </w:rPr>
        <w:t xml:space="preserve"> </w:t>
      </w:r>
      <w:r w:rsidR="6C068BB4" w:rsidRPr="002F7F9F">
        <w:rPr>
          <w:rFonts w:ascii="Aptos" w:hAnsi="Aptos"/>
        </w:rPr>
        <w:t xml:space="preserve">a no-surprises approach, </w:t>
      </w:r>
      <w:r w:rsidR="6B1B5F0F" w:rsidRPr="002F7F9F">
        <w:rPr>
          <w:rFonts w:ascii="Aptos" w:hAnsi="Aptos"/>
        </w:rPr>
        <w:t>up to date sector guidance, a cohort of trained inspectors working collaboratively, who understand the wider industry context and their role in supporting change.</w:t>
      </w:r>
    </w:p>
    <w:p w14:paraId="75A9BCD2" w14:textId="77777777" w:rsidR="00C029CC" w:rsidRPr="002F7F9F" w:rsidRDefault="00C029CC" w:rsidP="54A8F7B6">
      <w:pPr>
        <w:rPr>
          <w:rFonts w:ascii="Aptos" w:hAnsi="Aptos"/>
        </w:rPr>
      </w:pPr>
    </w:p>
    <w:p w14:paraId="5949C7C0" w14:textId="64CFCFFB" w:rsidR="1A435B94" w:rsidRPr="002F7F9F" w:rsidRDefault="1A435B94" w:rsidP="54A8F7B6">
      <w:pPr>
        <w:rPr>
          <w:rFonts w:ascii="Aptos" w:hAnsi="Aptos"/>
        </w:rPr>
      </w:pPr>
      <w:r w:rsidRPr="002F7F9F">
        <w:rPr>
          <w:rFonts w:ascii="Aptos" w:hAnsi="Aptos"/>
        </w:rPr>
        <w:t xml:space="preserve">A useful model to consider is Queensland where </w:t>
      </w:r>
      <w:r w:rsidR="00F24F33">
        <w:rPr>
          <w:rFonts w:ascii="Aptos" w:hAnsi="Aptos"/>
        </w:rPr>
        <w:t>six</w:t>
      </w:r>
      <w:r w:rsidR="00F24F33" w:rsidRPr="002F7F9F">
        <w:rPr>
          <w:rFonts w:ascii="Aptos" w:hAnsi="Aptos"/>
        </w:rPr>
        <w:t xml:space="preserve"> </w:t>
      </w:r>
      <w:r w:rsidRPr="002F7F9F">
        <w:rPr>
          <w:rFonts w:ascii="Aptos" w:hAnsi="Aptos"/>
        </w:rPr>
        <w:t xml:space="preserve">Sector Standing </w:t>
      </w:r>
      <w:r w:rsidR="7A4439A1" w:rsidRPr="002F7F9F">
        <w:rPr>
          <w:rFonts w:ascii="Aptos" w:hAnsi="Aptos"/>
        </w:rPr>
        <w:t>Committees</w:t>
      </w:r>
      <w:r w:rsidRPr="002F7F9F">
        <w:rPr>
          <w:rFonts w:ascii="Aptos" w:hAnsi="Aptos"/>
        </w:rPr>
        <w:t xml:space="preserve"> have been established </w:t>
      </w:r>
      <w:r w:rsidR="5C53F9F7" w:rsidRPr="002F7F9F">
        <w:rPr>
          <w:rFonts w:ascii="Aptos" w:hAnsi="Aptos"/>
        </w:rPr>
        <w:t xml:space="preserve">covering </w:t>
      </w:r>
      <w:r w:rsidR="5C53F9F7" w:rsidRPr="002F7F9F">
        <w:rPr>
          <w:rFonts w:ascii="Aptos" w:eastAsia="Nunito Sans" w:hAnsi="Aptos" w:cs="Nunito Sans"/>
          <w:color w:val="202020"/>
        </w:rPr>
        <w:t>construction, health and community services, manufacturing, retail and wholesale, rural</w:t>
      </w:r>
      <w:r w:rsidR="009D28EE">
        <w:rPr>
          <w:rFonts w:ascii="Aptos" w:eastAsia="Nunito Sans" w:hAnsi="Aptos" w:cs="Nunito Sans"/>
          <w:color w:val="202020"/>
        </w:rPr>
        <w:t>,</w:t>
      </w:r>
      <w:r w:rsidR="5C53F9F7" w:rsidRPr="002F7F9F">
        <w:rPr>
          <w:rFonts w:ascii="Aptos" w:eastAsia="Nunito Sans" w:hAnsi="Aptos" w:cs="Nunito Sans"/>
          <w:color w:val="202020"/>
        </w:rPr>
        <w:t xml:space="preserve"> and transport and storage.</w:t>
      </w:r>
      <w:r w:rsidR="5C53F9F7" w:rsidRPr="002F7F9F">
        <w:rPr>
          <w:rFonts w:ascii="Aptos" w:hAnsi="Aptos"/>
        </w:rPr>
        <w:t xml:space="preserve"> </w:t>
      </w:r>
    </w:p>
    <w:p w14:paraId="06F1CC83" w14:textId="77777777" w:rsidR="00C029CC" w:rsidRPr="002F7F9F" w:rsidRDefault="00C029CC" w:rsidP="54A8F7B6">
      <w:pPr>
        <w:spacing w:line="259" w:lineRule="auto"/>
        <w:rPr>
          <w:rFonts w:ascii="Aptos" w:hAnsi="Aptos"/>
        </w:rPr>
      </w:pPr>
    </w:p>
    <w:p w14:paraId="5D875953" w14:textId="0B9183DF" w:rsidR="5C53F9F7" w:rsidRPr="002F7F9F" w:rsidRDefault="5C53F9F7" w:rsidP="54A8F7B6">
      <w:pPr>
        <w:spacing w:line="259" w:lineRule="auto"/>
        <w:rPr>
          <w:rFonts w:ascii="Aptos" w:hAnsi="Aptos"/>
        </w:rPr>
      </w:pPr>
      <w:r w:rsidRPr="002F7F9F">
        <w:rPr>
          <w:rFonts w:ascii="Aptos" w:hAnsi="Aptos"/>
        </w:rPr>
        <w:t>Their</w:t>
      </w:r>
      <w:r w:rsidR="1A435B94" w:rsidRPr="002F7F9F">
        <w:rPr>
          <w:rFonts w:ascii="Aptos" w:hAnsi="Aptos"/>
        </w:rPr>
        <w:t xml:space="preserve"> primary function</w:t>
      </w:r>
      <w:r w:rsidR="163BD04B" w:rsidRPr="002F7F9F">
        <w:rPr>
          <w:rFonts w:ascii="Aptos" w:hAnsi="Aptos"/>
        </w:rPr>
        <w:t xml:space="preserve"> is</w:t>
      </w:r>
      <w:r w:rsidR="1A435B94" w:rsidRPr="002F7F9F">
        <w:rPr>
          <w:rFonts w:ascii="Aptos" w:hAnsi="Aptos"/>
        </w:rPr>
        <w:t xml:space="preserve"> to </w:t>
      </w:r>
      <w:r w:rsidR="45A5CA6F" w:rsidRPr="002F7F9F">
        <w:rPr>
          <w:rFonts w:ascii="Aptos" w:hAnsi="Aptos"/>
        </w:rPr>
        <w:t>“</w:t>
      </w:r>
      <w:r w:rsidR="1A435B94" w:rsidRPr="002F7F9F">
        <w:rPr>
          <w:rFonts w:ascii="Aptos" w:hAnsi="Aptos"/>
        </w:rPr>
        <w:t>provide advice and make recommendations to the Work Health and Safety Board about workplace health and safety in the relevant industry sectors. ISSCs use their industry networks to consult on industry-specific work health and safety issues and to promote and distribute work health and safety information.</w:t>
      </w:r>
      <w:r w:rsidR="40C6DCF2" w:rsidRPr="002F7F9F">
        <w:rPr>
          <w:rFonts w:ascii="Aptos" w:hAnsi="Aptos"/>
        </w:rPr>
        <w:t>”</w:t>
      </w:r>
      <w:r w:rsidR="4A477193" w:rsidRPr="002F7F9F">
        <w:rPr>
          <w:rFonts w:ascii="Aptos" w:hAnsi="Aptos"/>
        </w:rPr>
        <w:t xml:space="preserve"> </w:t>
      </w:r>
      <w:r w:rsidR="002F7F9F">
        <w:rPr>
          <w:rStyle w:val="FootnoteReference"/>
          <w:rFonts w:ascii="Aptos" w:hAnsi="Aptos"/>
        </w:rPr>
        <w:footnoteReference w:id="11"/>
      </w:r>
      <w:r w:rsidR="4A477193" w:rsidRPr="002F7F9F">
        <w:rPr>
          <w:rFonts w:ascii="Aptos" w:hAnsi="Aptos"/>
        </w:rPr>
        <w:t xml:space="preserve"> </w:t>
      </w:r>
    </w:p>
    <w:p w14:paraId="083A242F" w14:textId="1DD77C8C" w:rsidR="06097C81" w:rsidRPr="002F7F9F" w:rsidRDefault="06097C81" w:rsidP="06097C81">
      <w:pPr>
        <w:spacing w:line="259" w:lineRule="auto"/>
        <w:rPr>
          <w:rFonts w:ascii="Aptos" w:hAnsi="Aptos"/>
        </w:rPr>
      </w:pPr>
    </w:p>
    <w:p w14:paraId="12B72BC5" w14:textId="1A3F6866" w:rsidR="253B526C" w:rsidRPr="002F7F9F" w:rsidRDefault="253B526C" w:rsidP="06097C81">
      <w:pPr>
        <w:spacing w:line="259" w:lineRule="auto"/>
        <w:rPr>
          <w:rFonts w:ascii="Aptos" w:hAnsi="Aptos"/>
        </w:rPr>
      </w:pPr>
      <w:r w:rsidRPr="002F7F9F">
        <w:rPr>
          <w:rFonts w:ascii="Aptos" w:hAnsi="Aptos"/>
        </w:rPr>
        <w:t>Whilst elements of such an approach have existed in WorkSafe</w:t>
      </w:r>
      <w:r w:rsidR="00582434">
        <w:rPr>
          <w:rFonts w:ascii="Aptos" w:hAnsi="Aptos"/>
        </w:rPr>
        <w:t>,</w:t>
      </w:r>
      <w:r w:rsidRPr="002F7F9F">
        <w:rPr>
          <w:rFonts w:ascii="Aptos" w:hAnsi="Aptos"/>
        </w:rPr>
        <w:t xml:space="preserve"> for example with the forestry industry</w:t>
      </w:r>
      <w:r w:rsidR="00582434">
        <w:rPr>
          <w:rFonts w:ascii="Aptos" w:hAnsi="Aptos"/>
        </w:rPr>
        <w:t xml:space="preserve">, </w:t>
      </w:r>
      <w:r w:rsidRPr="002F7F9F">
        <w:rPr>
          <w:rFonts w:ascii="Aptos" w:hAnsi="Aptos"/>
        </w:rPr>
        <w:t xml:space="preserve">there is still a sense of keeping the sector group (FISC) at </w:t>
      </w:r>
      <w:r w:rsidR="672A70CC" w:rsidRPr="002F7F9F">
        <w:rPr>
          <w:rFonts w:ascii="Aptos" w:hAnsi="Aptos"/>
        </w:rPr>
        <w:t>arm's length</w:t>
      </w:r>
      <w:r w:rsidRPr="002F7F9F">
        <w:rPr>
          <w:rFonts w:ascii="Aptos" w:hAnsi="Aptos"/>
        </w:rPr>
        <w:t xml:space="preserve"> </w:t>
      </w:r>
      <w:r w:rsidR="54E13233" w:rsidRPr="002F7F9F">
        <w:rPr>
          <w:rFonts w:ascii="Aptos" w:hAnsi="Aptos"/>
        </w:rPr>
        <w:t>and there has been limited ability for them to hold MBIE to account for failing to deliver on agreements such as updating the Forest</w:t>
      </w:r>
      <w:r w:rsidR="57514A67" w:rsidRPr="002F7F9F">
        <w:rPr>
          <w:rFonts w:ascii="Aptos" w:hAnsi="Aptos"/>
        </w:rPr>
        <w:t>r</w:t>
      </w:r>
      <w:r w:rsidR="54E13233" w:rsidRPr="002F7F9F">
        <w:rPr>
          <w:rFonts w:ascii="Aptos" w:hAnsi="Aptos"/>
        </w:rPr>
        <w:t>y ACOP.</w:t>
      </w:r>
    </w:p>
    <w:p w14:paraId="4E6C198C" w14:textId="49337917" w:rsidR="06097C81" w:rsidRPr="002F7F9F" w:rsidRDefault="06097C81" w:rsidP="06097C81">
      <w:pPr>
        <w:spacing w:line="259" w:lineRule="auto"/>
        <w:rPr>
          <w:rFonts w:ascii="Aptos" w:hAnsi="Aptos"/>
        </w:rPr>
      </w:pPr>
    </w:p>
    <w:p w14:paraId="492709FE" w14:textId="30E7A6EE" w:rsidR="2F98FE13" w:rsidRPr="002F7F9F" w:rsidRDefault="2F98FE13" w:rsidP="06097C81">
      <w:pPr>
        <w:spacing w:line="259" w:lineRule="auto"/>
        <w:rPr>
          <w:rFonts w:ascii="Aptos" w:hAnsi="Aptos"/>
        </w:rPr>
      </w:pPr>
      <w:r w:rsidRPr="002F7F9F">
        <w:rPr>
          <w:rFonts w:ascii="Aptos" w:hAnsi="Aptos"/>
        </w:rPr>
        <w:t xml:space="preserve">We have heard examples in other sectors of inspectors turning up to high performing businesses </w:t>
      </w:r>
      <w:r w:rsidR="735D8BA5" w:rsidRPr="002F7F9F">
        <w:rPr>
          <w:rFonts w:ascii="Aptos" w:hAnsi="Aptos"/>
        </w:rPr>
        <w:t xml:space="preserve">(due to the lack of effective targeting) </w:t>
      </w:r>
      <w:r w:rsidRPr="002F7F9F">
        <w:rPr>
          <w:rFonts w:ascii="Aptos" w:hAnsi="Aptos"/>
        </w:rPr>
        <w:t xml:space="preserve">who have no knowledge of the </w:t>
      </w:r>
      <w:r w:rsidR="283674AD" w:rsidRPr="002F7F9F">
        <w:rPr>
          <w:rFonts w:ascii="Aptos" w:hAnsi="Aptos"/>
        </w:rPr>
        <w:t>sector,</w:t>
      </w:r>
      <w:r w:rsidRPr="002F7F9F">
        <w:rPr>
          <w:rFonts w:ascii="Aptos" w:hAnsi="Aptos"/>
        </w:rPr>
        <w:t xml:space="preserve"> or its standards </w:t>
      </w:r>
      <w:r w:rsidR="49948AC0" w:rsidRPr="002F7F9F">
        <w:rPr>
          <w:rFonts w:ascii="Aptos" w:hAnsi="Aptos"/>
        </w:rPr>
        <w:t xml:space="preserve">and leave having ticked the box but added no value to the interaction.  In </w:t>
      </w:r>
      <w:r w:rsidR="49948AC0" w:rsidRPr="002F7F9F">
        <w:rPr>
          <w:rFonts w:ascii="Aptos" w:hAnsi="Aptos"/>
        </w:rPr>
        <w:lastRenderedPageBreak/>
        <w:t>other cases</w:t>
      </w:r>
      <w:r w:rsidR="3E8347E7" w:rsidRPr="002F7F9F">
        <w:rPr>
          <w:rFonts w:ascii="Aptos" w:hAnsi="Aptos"/>
        </w:rPr>
        <w:t>,</w:t>
      </w:r>
      <w:r w:rsidR="49948AC0" w:rsidRPr="002F7F9F">
        <w:rPr>
          <w:rFonts w:ascii="Aptos" w:hAnsi="Aptos"/>
        </w:rPr>
        <w:t xml:space="preserve"> the failure to identify obvious hazards has left busi</w:t>
      </w:r>
      <w:r w:rsidR="7E00433A" w:rsidRPr="002F7F9F">
        <w:rPr>
          <w:rFonts w:ascii="Aptos" w:hAnsi="Aptos"/>
        </w:rPr>
        <w:t xml:space="preserve">nesses believing </w:t>
      </w:r>
      <w:r w:rsidR="23789AB5" w:rsidRPr="002F7F9F">
        <w:rPr>
          <w:rFonts w:ascii="Aptos" w:hAnsi="Aptos"/>
        </w:rPr>
        <w:t>everything</w:t>
      </w:r>
      <w:r w:rsidR="7E00433A" w:rsidRPr="002F7F9F">
        <w:rPr>
          <w:rFonts w:ascii="Aptos" w:hAnsi="Aptos"/>
        </w:rPr>
        <w:t xml:space="preserve"> is OK</w:t>
      </w:r>
      <w:r w:rsidR="763FE93E" w:rsidRPr="002F7F9F">
        <w:rPr>
          <w:rFonts w:ascii="Aptos" w:hAnsi="Aptos"/>
        </w:rPr>
        <w:t xml:space="preserve"> or has simply undermined the credibility of the regulator.</w:t>
      </w:r>
    </w:p>
    <w:p w14:paraId="40F8357A" w14:textId="3A18C267" w:rsidR="06097C81" w:rsidRPr="002F7F9F" w:rsidRDefault="06097C81" w:rsidP="06097C81">
      <w:pPr>
        <w:spacing w:line="259" w:lineRule="auto"/>
        <w:rPr>
          <w:rFonts w:ascii="Aptos" w:hAnsi="Aptos"/>
        </w:rPr>
      </w:pPr>
    </w:p>
    <w:p w14:paraId="0994AC9D" w14:textId="44D9406D" w:rsidR="06097C81" w:rsidRPr="00206345" w:rsidRDefault="4B75DFF9" w:rsidP="001C034B">
      <w:pPr>
        <w:spacing w:line="259" w:lineRule="auto"/>
        <w:rPr>
          <w:rFonts w:ascii="Aptos" w:hAnsi="Aptos"/>
          <w:u w:val="single"/>
        </w:rPr>
      </w:pPr>
      <w:r w:rsidRPr="00206345">
        <w:rPr>
          <w:rFonts w:ascii="Aptos" w:hAnsi="Aptos"/>
          <w:u w:val="single"/>
        </w:rPr>
        <w:t xml:space="preserve">In our view the current </w:t>
      </w:r>
      <w:r w:rsidR="00757EA4" w:rsidRPr="00206345">
        <w:rPr>
          <w:rFonts w:ascii="Aptos" w:hAnsi="Aptos"/>
          <w:u w:val="single"/>
        </w:rPr>
        <w:t>four</w:t>
      </w:r>
      <w:r w:rsidRPr="00206345">
        <w:rPr>
          <w:rFonts w:ascii="Aptos" w:hAnsi="Aptos"/>
          <w:u w:val="single"/>
        </w:rPr>
        <w:t xml:space="preserve"> priority sectors should move to </w:t>
      </w:r>
      <w:r w:rsidR="0019059F">
        <w:rPr>
          <w:rFonts w:ascii="Aptos" w:hAnsi="Aptos"/>
          <w:u w:val="single"/>
        </w:rPr>
        <w:t xml:space="preserve">a </w:t>
      </w:r>
      <w:r w:rsidR="00206345" w:rsidRPr="00206345">
        <w:rPr>
          <w:rFonts w:ascii="Aptos" w:hAnsi="Aptos"/>
          <w:u w:val="single"/>
        </w:rPr>
        <w:t>co-governed Standing Committee model</w:t>
      </w:r>
      <w:r w:rsidRPr="00206345">
        <w:rPr>
          <w:rFonts w:ascii="Aptos" w:hAnsi="Aptos"/>
          <w:u w:val="single"/>
        </w:rPr>
        <w:t xml:space="preserve"> with WorkSafe and ACC as the facilitators, catalyst</w:t>
      </w:r>
      <w:r w:rsidR="00445A9F">
        <w:rPr>
          <w:rFonts w:ascii="Aptos" w:hAnsi="Aptos"/>
          <w:u w:val="single"/>
        </w:rPr>
        <w:t>s</w:t>
      </w:r>
      <w:r w:rsidRPr="00206345">
        <w:rPr>
          <w:rFonts w:ascii="Aptos" w:hAnsi="Aptos"/>
          <w:u w:val="single"/>
        </w:rPr>
        <w:t>, funder</w:t>
      </w:r>
      <w:r w:rsidR="1845966D" w:rsidRPr="00206345">
        <w:rPr>
          <w:rFonts w:ascii="Aptos" w:hAnsi="Aptos"/>
          <w:u w:val="single"/>
        </w:rPr>
        <w:t>s</w:t>
      </w:r>
      <w:r w:rsidRPr="00206345">
        <w:rPr>
          <w:rFonts w:ascii="Aptos" w:hAnsi="Aptos"/>
          <w:u w:val="single"/>
        </w:rPr>
        <w:t xml:space="preserve">, </w:t>
      </w:r>
      <w:r w:rsidR="49769F03" w:rsidRPr="00206345">
        <w:rPr>
          <w:rFonts w:ascii="Aptos" w:hAnsi="Aptos"/>
          <w:u w:val="single"/>
        </w:rPr>
        <w:t>intelligence and evaluation provider</w:t>
      </w:r>
      <w:r w:rsidR="00F32BDC">
        <w:rPr>
          <w:rFonts w:ascii="Aptos" w:hAnsi="Aptos"/>
          <w:u w:val="single"/>
        </w:rPr>
        <w:t>s</w:t>
      </w:r>
      <w:r w:rsidR="49769F03" w:rsidRPr="00206345">
        <w:rPr>
          <w:rFonts w:ascii="Aptos" w:hAnsi="Aptos"/>
          <w:u w:val="single"/>
        </w:rPr>
        <w:t>, with industry groups having a form</w:t>
      </w:r>
      <w:r w:rsidR="6D808ED0" w:rsidRPr="00206345">
        <w:rPr>
          <w:rFonts w:ascii="Aptos" w:hAnsi="Aptos"/>
          <w:u w:val="single"/>
        </w:rPr>
        <w:t>al oversight and governance role</w:t>
      </w:r>
      <w:r w:rsidR="197D15DD" w:rsidRPr="00206345">
        <w:rPr>
          <w:rFonts w:ascii="Aptos" w:hAnsi="Aptos"/>
          <w:u w:val="single"/>
        </w:rPr>
        <w:t>.</w:t>
      </w:r>
      <w:r w:rsidR="26C00555" w:rsidRPr="00206345">
        <w:rPr>
          <w:rFonts w:ascii="Aptos" w:hAnsi="Aptos"/>
          <w:u w:val="single"/>
        </w:rPr>
        <w:t xml:space="preserve"> </w:t>
      </w:r>
    </w:p>
    <w:p w14:paraId="74612715" w14:textId="4EFCF2DC" w:rsidR="6ECEC53C" w:rsidRPr="001C034B" w:rsidRDefault="6ECEC53C" w:rsidP="001C034B">
      <w:pPr>
        <w:pStyle w:val="Heading2"/>
        <w:rPr>
          <w:b/>
          <w:bCs/>
        </w:rPr>
      </w:pPr>
      <w:bookmarkStart w:id="29" w:name="_Toc177397983"/>
      <w:r w:rsidRPr="001C034B">
        <w:t>Cross-cutting risks</w:t>
      </w:r>
      <w:bookmarkEnd w:id="29"/>
    </w:p>
    <w:p w14:paraId="462D0B4A" w14:textId="3BEE2099" w:rsidR="6ECEC53C" w:rsidRPr="002F7F9F" w:rsidRDefault="6ECEC53C" w:rsidP="06097C81">
      <w:pPr>
        <w:spacing w:line="259" w:lineRule="auto"/>
        <w:rPr>
          <w:rFonts w:ascii="Aptos" w:hAnsi="Aptos"/>
        </w:rPr>
      </w:pPr>
      <w:r w:rsidRPr="002F7F9F">
        <w:rPr>
          <w:rFonts w:ascii="Aptos" w:hAnsi="Aptos"/>
        </w:rPr>
        <w:t>Whilst sector engagement is part of the solution there are also many important cross-cutting risks that need to be approached differently. This is part of the warp and weft concept articulated by the In</w:t>
      </w:r>
      <w:r w:rsidR="34CE3918" w:rsidRPr="002F7F9F">
        <w:rPr>
          <w:rFonts w:ascii="Aptos" w:hAnsi="Aptos"/>
        </w:rPr>
        <w:t>dependent Taskforce.</w:t>
      </w:r>
    </w:p>
    <w:p w14:paraId="1AC29907" w14:textId="78A3EBF3" w:rsidR="06097C81" w:rsidRPr="002F7F9F" w:rsidRDefault="06097C81" w:rsidP="06097C81">
      <w:pPr>
        <w:spacing w:line="259" w:lineRule="auto"/>
        <w:rPr>
          <w:rFonts w:ascii="Aptos" w:hAnsi="Aptos"/>
        </w:rPr>
      </w:pPr>
    </w:p>
    <w:p w14:paraId="75459514" w14:textId="1ADCE257" w:rsidR="34CE3918" w:rsidRPr="002F7F9F" w:rsidRDefault="34CE3918" w:rsidP="06097C81">
      <w:pPr>
        <w:spacing w:line="259" w:lineRule="auto"/>
        <w:rPr>
          <w:rFonts w:ascii="Aptos" w:hAnsi="Aptos"/>
        </w:rPr>
      </w:pPr>
      <w:r w:rsidRPr="002F7F9F">
        <w:rPr>
          <w:rFonts w:ascii="Aptos" w:hAnsi="Aptos"/>
        </w:rPr>
        <w:t>The current strategy does not clearly identify how, or if, these issues will be addressed. Examples include mental health, exposure to hazardous materials</w:t>
      </w:r>
      <w:r w:rsidR="092C63A9" w:rsidRPr="002F7F9F">
        <w:rPr>
          <w:rFonts w:ascii="Aptos" w:hAnsi="Aptos"/>
        </w:rPr>
        <w:t xml:space="preserve">, interactions with mobile plant, workplace violence, and </w:t>
      </w:r>
      <w:r w:rsidR="2335F948" w:rsidRPr="002F7F9F">
        <w:rPr>
          <w:rFonts w:ascii="Aptos" w:hAnsi="Aptos"/>
        </w:rPr>
        <w:t>related issues such as having a national system for occupational health records to reduce the duplication of effort and cost</w:t>
      </w:r>
      <w:r w:rsidR="631042C6" w:rsidRPr="002F7F9F">
        <w:rPr>
          <w:rFonts w:ascii="Aptos" w:hAnsi="Aptos"/>
        </w:rPr>
        <w:t xml:space="preserve">, as well as lack of value in </w:t>
      </w:r>
      <w:r w:rsidR="248F41AD" w:rsidRPr="002F7F9F">
        <w:rPr>
          <w:rFonts w:ascii="Aptos" w:hAnsi="Aptos"/>
        </w:rPr>
        <w:t xml:space="preserve">the </w:t>
      </w:r>
      <w:r w:rsidR="631042C6" w:rsidRPr="002F7F9F">
        <w:rPr>
          <w:rFonts w:ascii="Aptos" w:hAnsi="Aptos"/>
        </w:rPr>
        <w:t xml:space="preserve">current </w:t>
      </w:r>
      <w:r w:rsidR="4971B09F" w:rsidRPr="002F7F9F">
        <w:rPr>
          <w:rFonts w:ascii="Aptos" w:hAnsi="Aptos"/>
        </w:rPr>
        <w:t>approach</w:t>
      </w:r>
      <w:r w:rsidR="076B4A6B" w:rsidRPr="002F7F9F">
        <w:rPr>
          <w:rFonts w:ascii="Aptos" w:hAnsi="Aptos"/>
        </w:rPr>
        <w:t>.</w:t>
      </w:r>
    </w:p>
    <w:p w14:paraId="12268A41" w14:textId="4E6FC1F1" w:rsidR="06097C81" w:rsidRPr="002F7F9F" w:rsidRDefault="06097C81" w:rsidP="06097C81">
      <w:pPr>
        <w:spacing w:line="259" w:lineRule="auto"/>
        <w:rPr>
          <w:rFonts w:ascii="Aptos" w:hAnsi="Aptos"/>
        </w:rPr>
      </w:pPr>
    </w:p>
    <w:p w14:paraId="5C721BA8" w14:textId="136AC261" w:rsidR="2055C311" w:rsidRPr="002F7F9F" w:rsidRDefault="2055C311" w:rsidP="06097C81">
      <w:pPr>
        <w:spacing w:line="259" w:lineRule="auto"/>
        <w:rPr>
          <w:rFonts w:ascii="Aptos" w:hAnsi="Aptos"/>
        </w:rPr>
      </w:pPr>
      <w:r w:rsidRPr="002F7F9F">
        <w:rPr>
          <w:rFonts w:ascii="Aptos" w:hAnsi="Aptos"/>
        </w:rPr>
        <w:t xml:space="preserve">One of the challenges in the current environment is the lack of clarity as to how priorities are determined by WorkSafe. Critical risks involving reasonably </w:t>
      </w:r>
      <w:r w:rsidR="13725CE5" w:rsidRPr="002F7F9F">
        <w:rPr>
          <w:rFonts w:ascii="Aptos" w:hAnsi="Aptos"/>
        </w:rPr>
        <w:t>foreseeable</w:t>
      </w:r>
      <w:r w:rsidRPr="002F7F9F">
        <w:rPr>
          <w:rFonts w:ascii="Aptos" w:hAnsi="Aptos"/>
        </w:rPr>
        <w:t xml:space="preserve"> acute deaths and serious</w:t>
      </w:r>
      <w:r w:rsidR="6871D6A7" w:rsidRPr="002F7F9F">
        <w:rPr>
          <w:rFonts w:ascii="Aptos" w:hAnsi="Aptos"/>
        </w:rPr>
        <w:t xml:space="preserve"> </w:t>
      </w:r>
      <w:r w:rsidRPr="002F7F9F">
        <w:rPr>
          <w:rFonts w:ascii="Aptos" w:hAnsi="Aptos"/>
        </w:rPr>
        <w:t xml:space="preserve">injuries can </w:t>
      </w:r>
      <w:r w:rsidR="1AC43A6D" w:rsidRPr="002F7F9F">
        <w:rPr>
          <w:rFonts w:ascii="Aptos" w:hAnsi="Aptos"/>
        </w:rPr>
        <w:t>be readily identified</w:t>
      </w:r>
      <w:r w:rsidR="1854E0C4" w:rsidRPr="002F7F9F">
        <w:rPr>
          <w:rFonts w:ascii="Aptos" w:hAnsi="Aptos"/>
        </w:rPr>
        <w:t xml:space="preserve"> from data, but our intelligence base for other risks</w:t>
      </w:r>
      <w:r w:rsidR="00A31319">
        <w:rPr>
          <w:rFonts w:ascii="Aptos" w:hAnsi="Aptos"/>
        </w:rPr>
        <w:t xml:space="preserve">, </w:t>
      </w:r>
      <w:r w:rsidR="1854E0C4" w:rsidRPr="002F7F9F">
        <w:rPr>
          <w:rFonts w:ascii="Aptos" w:hAnsi="Aptos"/>
        </w:rPr>
        <w:t>especially those not covered by ACC</w:t>
      </w:r>
      <w:r w:rsidR="00A31319">
        <w:rPr>
          <w:rFonts w:ascii="Aptos" w:hAnsi="Aptos"/>
        </w:rPr>
        <w:t>,</w:t>
      </w:r>
      <w:r w:rsidR="1854E0C4" w:rsidRPr="002F7F9F">
        <w:rPr>
          <w:rFonts w:ascii="Aptos" w:hAnsi="Aptos"/>
        </w:rPr>
        <w:t xml:space="preserve"> is poor.  Risks that have </w:t>
      </w:r>
      <w:r w:rsidR="4FAEFE0D" w:rsidRPr="002F7F9F">
        <w:rPr>
          <w:rFonts w:ascii="Aptos" w:hAnsi="Aptos"/>
        </w:rPr>
        <w:t>both a societal component and those involving other regulators (such as occupational road risk) are particularly problematic</w:t>
      </w:r>
      <w:r w:rsidR="0DA199FF" w:rsidRPr="002F7F9F">
        <w:rPr>
          <w:rFonts w:ascii="Aptos" w:hAnsi="Aptos"/>
        </w:rPr>
        <w:t xml:space="preserve"> for WorkSafe to determine its contribution.  </w:t>
      </w:r>
    </w:p>
    <w:p w14:paraId="5D2C8464" w14:textId="5E108470" w:rsidR="06097C81" w:rsidRPr="002F7F9F" w:rsidRDefault="06097C81" w:rsidP="06097C81">
      <w:pPr>
        <w:spacing w:line="259" w:lineRule="auto"/>
        <w:rPr>
          <w:rFonts w:ascii="Aptos" w:hAnsi="Aptos"/>
        </w:rPr>
      </w:pPr>
    </w:p>
    <w:p w14:paraId="77DB62D8" w14:textId="78FF03DE" w:rsidR="0DA199FF" w:rsidRPr="002F7F9F" w:rsidRDefault="0DA199FF" w:rsidP="06097C81">
      <w:pPr>
        <w:spacing w:line="259" w:lineRule="auto"/>
        <w:rPr>
          <w:rFonts w:ascii="Aptos" w:hAnsi="Aptos"/>
        </w:rPr>
      </w:pPr>
      <w:r w:rsidRPr="002F7F9F">
        <w:rPr>
          <w:rFonts w:ascii="Aptos" w:hAnsi="Aptos"/>
        </w:rPr>
        <w:t>Cross functional taskforces are one way of addressing this –</w:t>
      </w:r>
      <w:r w:rsidR="00D510FA">
        <w:rPr>
          <w:rFonts w:ascii="Aptos" w:hAnsi="Aptos"/>
        </w:rPr>
        <w:t xml:space="preserve"> </w:t>
      </w:r>
      <w:r w:rsidRPr="002F7F9F">
        <w:rPr>
          <w:rFonts w:ascii="Aptos" w:hAnsi="Aptos"/>
        </w:rPr>
        <w:t>although without adequate resources</w:t>
      </w:r>
      <w:r w:rsidR="5D320DCC" w:rsidRPr="002F7F9F">
        <w:rPr>
          <w:rFonts w:ascii="Aptos" w:hAnsi="Aptos"/>
        </w:rPr>
        <w:t xml:space="preserve"> and commitment </w:t>
      </w:r>
      <w:r w:rsidRPr="002F7F9F">
        <w:rPr>
          <w:rFonts w:ascii="Aptos" w:hAnsi="Aptos"/>
        </w:rPr>
        <w:t xml:space="preserve">to support programme activity </w:t>
      </w:r>
      <w:r w:rsidR="72187617" w:rsidRPr="002F7F9F">
        <w:rPr>
          <w:rFonts w:ascii="Aptos" w:hAnsi="Aptos"/>
        </w:rPr>
        <w:t xml:space="preserve">their value can be limited.  For </w:t>
      </w:r>
      <w:r w:rsidR="11FE7C06" w:rsidRPr="002F7F9F">
        <w:rPr>
          <w:rFonts w:ascii="Aptos" w:hAnsi="Aptos"/>
        </w:rPr>
        <w:t>example,</w:t>
      </w:r>
      <w:r w:rsidR="72187617" w:rsidRPr="002F7F9F">
        <w:rPr>
          <w:rFonts w:ascii="Aptos" w:hAnsi="Aptos"/>
        </w:rPr>
        <w:t xml:space="preserve"> there is current</w:t>
      </w:r>
      <w:r w:rsidR="6D4F6608" w:rsidRPr="002F7F9F">
        <w:rPr>
          <w:rFonts w:ascii="Aptos" w:hAnsi="Aptos"/>
        </w:rPr>
        <w:t xml:space="preserve"> political</w:t>
      </w:r>
      <w:r w:rsidR="72187617" w:rsidRPr="002F7F9F">
        <w:rPr>
          <w:rFonts w:ascii="Aptos" w:hAnsi="Aptos"/>
        </w:rPr>
        <w:t xml:space="preserve"> interest in the move from CoPTTM to the New Zealand Guide to Temporary Traffic Management. This topic involves </w:t>
      </w:r>
      <w:r w:rsidR="108C4401" w:rsidRPr="002F7F9F">
        <w:rPr>
          <w:rFonts w:ascii="Aptos" w:hAnsi="Aptos"/>
        </w:rPr>
        <w:t xml:space="preserve">WorkSafe NZ, </w:t>
      </w:r>
      <w:r w:rsidR="72187617" w:rsidRPr="002F7F9F">
        <w:rPr>
          <w:rFonts w:ascii="Aptos" w:hAnsi="Aptos"/>
        </w:rPr>
        <w:t>NZ</w:t>
      </w:r>
      <w:r w:rsidR="55CD812D" w:rsidRPr="002F7F9F">
        <w:rPr>
          <w:rFonts w:ascii="Aptos" w:hAnsi="Aptos"/>
        </w:rPr>
        <w:t>TA, Local Authorit</w:t>
      </w:r>
      <w:r w:rsidR="0D6B1498" w:rsidRPr="002F7F9F">
        <w:rPr>
          <w:rFonts w:ascii="Aptos" w:hAnsi="Aptos"/>
        </w:rPr>
        <w:t>i</w:t>
      </w:r>
      <w:r w:rsidR="55CD812D" w:rsidRPr="002F7F9F">
        <w:rPr>
          <w:rFonts w:ascii="Aptos" w:hAnsi="Aptos"/>
        </w:rPr>
        <w:t>es</w:t>
      </w:r>
      <w:r w:rsidR="00F0FBE7" w:rsidRPr="002F7F9F">
        <w:rPr>
          <w:rFonts w:ascii="Aptos" w:hAnsi="Aptos"/>
        </w:rPr>
        <w:t xml:space="preserve"> (both a</w:t>
      </w:r>
      <w:r w:rsidR="42262CB2" w:rsidRPr="002F7F9F">
        <w:rPr>
          <w:rFonts w:ascii="Aptos" w:hAnsi="Aptos"/>
        </w:rPr>
        <w:t>s</w:t>
      </w:r>
      <w:r w:rsidR="00F0FBE7" w:rsidRPr="002F7F9F">
        <w:rPr>
          <w:rFonts w:ascii="Aptos" w:hAnsi="Aptos"/>
        </w:rPr>
        <w:t xml:space="preserve"> road controlling authorities and local road maintenance clients)</w:t>
      </w:r>
      <w:r w:rsidR="55CD812D" w:rsidRPr="002F7F9F">
        <w:rPr>
          <w:rFonts w:ascii="Aptos" w:hAnsi="Aptos"/>
        </w:rPr>
        <w:t>, Police, Contractors, Utility companies</w:t>
      </w:r>
      <w:r w:rsidR="620079B7" w:rsidRPr="002F7F9F">
        <w:rPr>
          <w:rFonts w:ascii="Aptos" w:hAnsi="Aptos"/>
        </w:rPr>
        <w:t>, train</w:t>
      </w:r>
      <w:r w:rsidR="281268A0" w:rsidRPr="002F7F9F">
        <w:rPr>
          <w:rFonts w:ascii="Aptos" w:hAnsi="Aptos"/>
        </w:rPr>
        <w:t>i</w:t>
      </w:r>
      <w:r w:rsidR="620079B7" w:rsidRPr="002F7F9F">
        <w:rPr>
          <w:rFonts w:ascii="Aptos" w:hAnsi="Aptos"/>
        </w:rPr>
        <w:t xml:space="preserve">ng </w:t>
      </w:r>
      <w:r w:rsidR="40C659AC" w:rsidRPr="002F7F9F">
        <w:rPr>
          <w:rFonts w:ascii="Aptos" w:hAnsi="Aptos"/>
        </w:rPr>
        <w:t xml:space="preserve">and equipment </w:t>
      </w:r>
      <w:r w:rsidR="620079B7" w:rsidRPr="002F7F9F">
        <w:rPr>
          <w:rFonts w:ascii="Aptos" w:hAnsi="Aptos"/>
        </w:rPr>
        <w:t>providers, traffic management s</w:t>
      </w:r>
      <w:r w:rsidR="698FA24A" w:rsidRPr="002F7F9F">
        <w:rPr>
          <w:rFonts w:ascii="Aptos" w:hAnsi="Aptos"/>
        </w:rPr>
        <w:t>pecialists</w:t>
      </w:r>
      <w:r w:rsidR="620079B7" w:rsidRPr="002F7F9F">
        <w:rPr>
          <w:rFonts w:ascii="Aptos" w:hAnsi="Aptos"/>
        </w:rPr>
        <w:t>, etc</w:t>
      </w:r>
      <w:r w:rsidR="5424A19D" w:rsidRPr="002F7F9F">
        <w:rPr>
          <w:rFonts w:ascii="Aptos" w:hAnsi="Aptos"/>
        </w:rPr>
        <w:t xml:space="preserve">.  However, the current evidence suggests, despite best efforts, that this transition is far from smooth and that there is a real risk that standards will </w:t>
      </w:r>
      <w:r w:rsidR="409493C9" w:rsidRPr="002F7F9F">
        <w:rPr>
          <w:rFonts w:ascii="Aptos" w:hAnsi="Aptos"/>
        </w:rPr>
        <w:t>drop,</w:t>
      </w:r>
      <w:r w:rsidR="5424A19D" w:rsidRPr="002F7F9F">
        <w:rPr>
          <w:rFonts w:ascii="Aptos" w:hAnsi="Aptos"/>
        </w:rPr>
        <w:t xml:space="preserve"> a</w:t>
      </w:r>
      <w:r w:rsidR="42181980" w:rsidRPr="002F7F9F">
        <w:rPr>
          <w:rFonts w:ascii="Aptos" w:hAnsi="Aptos"/>
        </w:rPr>
        <w:t>nd risk</w:t>
      </w:r>
      <w:r w:rsidR="4156578C" w:rsidRPr="002F7F9F">
        <w:rPr>
          <w:rFonts w:ascii="Aptos" w:hAnsi="Aptos"/>
        </w:rPr>
        <w:t>s</w:t>
      </w:r>
      <w:r w:rsidR="42181980" w:rsidRPr="002F7F9F">
        <w:rPr>
          <w:rFonts w:ascii="Aptos" w:hAnsi="Aptos"/>
        </w:rPr>
        <w:t xml:space="preserve"> increase </w:t>
      </w:r>
      <w:r w:rsidR="3B61AEC0" w:rsidRPr="002F7F9F">
        <w:rPr>
          <w:rFonts w:ascii="Aptos" w:hAnsi="Aptos"/>
        </w:rPr>
        <w:t xml:space="preserve">in the interim </w:t>
      </w:r>
      <w:r w:rsidR="42181980" w:rsidRPr="002F7F9F">
        <w:rPr>
          <w:rFonts w:ascii="Aptos" w:hAnsi="Aptos"/>
        </w:rPr>
        <w:t>to both road users and those working on the road.</w:t>
      </w:r>
    </w:p>
    <w:p w14:paraId="1E10AE10" w14:textId="58F1024E" w:rsidR="06097C81" w:rsidRPr="002F7F9F" w:rsidRDefault="06097C81" w:rsidP="06097C81">
      <w:pPr>
        <w:spacing w:line="259" w:lineRule="auto"/>
        <w:rPr>
          <w:rFonts w:ascii="Aptos" w:hAnsi="Aptos"/>
        </w:rPr>
      </w:pPr>
    </w:p>
    <w:p w14:paraId="3DD4C1E5" w14:textId="77777777" w:rsidR="000D6EB3" w:rsidRDefault="2A7895EB" w:rsidP="06097C81">
      <w:pPr>
        <w:spacing w:line="259" w:lineRule="auto"/>
        <w:rPr>
          <w:rFonts w:ascii="Aptos" w:hAnsi="Aptos"/>
        </w:rPr>
      </w:pPr>
      <w:r w:rsidRPr="002F7F9F">
        <w:rPr>
          <w:rFonts w:ascii="Aptos" w:hAnsi="Aptos"/>
        </w:rPr>
        <w:t xml:space="preserve">The situation with other cross-cutting risks is just as complex and dysfunctional. </w:t>
      </w:r>
    </w:p>
    <w:p w14:paraId="3EC180A6" w14:textId="1DBB6F3A" w:rsidR="2A7895EB" w:rsidRPr="00111955" w:rsidRDefault="000D6EB3" w:rsidP="06097C81">
      <w:pPr>
        <w:spacing w:line="259" w:lineRule="auto"/>
        <w:rPr>
          <w:rFonts w:ascii="Aptos" w:hAnsi="Aptos"/>
          <w:u w:val="single"/>
        </w:rPr>
      </w:pPr>
      <w:r>
        <w:rPr>
          <w:rFonts w:ascii="Aptos" w:hAnsi="Aptos"/>
        </w:rPr>
        <w:br/>
      </w:r>
      <w:r w:rsidRPr="00111955">
        <w:rPr>
          <w:rFonts w:ascii="Aptos" w:hAnsi="Aptos"/>
          <w:u w:val="single"/>
        </w:rPr>
        <w:t xml:space="preserve">We recommend that WorkSafe </w:t>
      </w:r>
      <w:r w:rsidR="00111955" w:rsidRPr="00111955">
        <w:rPr>
          <w:rFonts w:ascii="Aptos" w:hAnsi="Aptos"/>
          <w:u w:val="single"/>
        </w:rPr>
        <w:t xml:space="preserve">develops a priority plan to address cross-cutting risks </w:t>
      </w:r>
      <w:r w:rsidR="00111955" w:rsidRPr="00111955">
        <w:rPr>
          <w:rFonts w:ascii="Aptos" w:hAnsi="Aptos"/>
          <w:u w:val="single"/>
        </w:rPr>
        <w:lastRenderedPageBreak/>
        <w:t>(including those outside of the current priority sectors) including robust intervention logic and engagement with sectoral and cross-sectoral stakeholders.</w:t>
      </w:r>
      <w:r w:rsidR="2A7895EB" w:rsidRPr="00111955">
        <w:rPr>
          <w:rFonts w:ascii="Aptos" w:hAnsi="Aptos"/>
          <w:u w:val="single"/>
        </w:rPr>
        <w:t xml:space="preserve"> </w:t>
      </w:r>
    </w:p>
    <w:p w14:paraId="51796918" w14:textId="4F868445" w:rsidR="06097C81" w:rsidRPr="002F7F9F" w:rsidRDefault="06097C81" w:rsidP="06097C81">
      <w:pPr>
        <w:spacing w:line="259" w:lineRule="auto"/>
        <w:rPr>
          <w:rFonts w:ascii="Aptos" w:hAnsi="Aptos"/>
        </w:rPr>
      </w:pPr>
    </w:p>
    <w:p w14:paraId="436845BB" w14:textId="29F164BB" w:rsidR="630E89AC" w:rsidRPr="001C034B" w:rsidRDefault="00F23BA7" w:rsidP="001C034B">
      <w:pPr>
        <w:pStyle w:val="Heading2"/>
        <w:rPr>
          <w:b/>
          <w:bCs/>
          <w:i/>
          <w:iCs/>
        </w:rPr>
      </w:pPr>
      <w:bookmarkStart w:id="30" w:name="_Toc177397984"/>
      <w:r>
        <w:rPr>
          <w:b/>
          <w:bCs/>
        </w:rPr>
        <w:t xml:space="preserve">Targeting </w:t>
      </w:r>
      <w:r w:rsidR="630E89AC" w:rsidRPr="001C034B">
        <w:rPr>
          <w:b/>
          <w:bCs/>
        </w:rPr>
        <w:t>System funding</w:t>
      </w:r>
      <w:bookmarkEnd w:id="30"/>
    </w:p>
    <w:p w14:paraId="5D2E87E2" w14:textId="5FE210CE" w:rsidR="393467C1" w:rsidRPr="002F7F9F" w:rsidRDefault="393467C1" w:rsidP="06097C81">
      <w:pPr>
        <w:spacing w:line="259" w:lineRule="auto"/>
        <w:rPr>
          <w:rFonts w:ascii="Aptos" w:hAnsi="Aptos"/>
        </w:rPr>
      </w:pPr>
      <w:r w:rsidRPr="002F7F9F">
        <w:rPr>
          <w:rFonts w:ascii="Aptos" w:hAnsi="Aptos"/>
        </w:rPr>
        <w:t xml:space="preserve"> As the SageBush report noted</w:t>
      </w:r>
      <w:r w:rsidR="009E706D">
        <w:rPr>
          <w:rFonts w:ascii="Aptos" w:hAnsi="Aptos"/>
        </w:rPr>
        <w:t>,</w:t>
      </w:r>
      <w:r w:rsidRPr="002F7F9F">
        <w:rPr>
          <w:rFonts w:ascii="Aptos" w:hAnsi="Aptos"/>
        </w:rPr>
        <w:t xml:space="preserve"> the need for clarity of strategy and priority needs to be supported by allocation of resources. At present this system is confusing and contradictory with a lack of j</w:t>
      </w:r>
      <w:r w:rsidR="5EC9D322" w:rsidRPr="002F7F9F">
        <w:rPr>
          <w:rFonts w:ascii="Aptos" w:hAnsi="Aptos"/>
        </w:rPr>
        <w:t xml:space="preserve">oined up thinking around how to fund the wider system to deliver outcomes rather than just funding agencies. </w:t>
      </w:r>
    </w:p>
    <w:p w14:paraId="40868487" w14:textId="36E5658D" w:rsidR="06097C81" w:rsidRPr="002F7F9F" w:rsidRDefault="06097C81" w:rsidP="06097C81">
      <w:pPr>
        <w:spacing w:line="259" w:lineRule="auto"/>
        <w:rPr>
          <w:rFonts w:ascii="Aptos" w:hAnsi="Aptos"/>
        </w:rPr>
      </w:pPr>
    </w:p>
    <w:p w14:paraId="0FF2C8D1" w14:textId="3E8F0C79" w:rsidR="5EC9D322" w:rsidRPr="002F7F9F" w:rsidRDefault="5EC9D322" w:rsidP="06097C81">
      <w:pPr>
        <w:spacing w:line="259" w:lineRule="auto"/>
        <w:rPr>
          <w:rFonts w:ascii="Aptos" w:hAnsi="Aptos"/>
        </w:rPr>
      </w:pPr>
      <w:r w:rsidRPr="002F7F9F">
        <w:rPr>
          <w:rFonts w:ascii="Aptos" w:hAnsi="Aptos"/>
        </w:rPr>
        <w:t xml:space="preserve">WorkSafe is funded largely by the </w:t>
      </w:r>
      <w:r w:rsidR="475345B3" w:rsidRPr="002F7F9F">
        <w:rPr>
          <w:rFonts w:ascii="Aptos" w:hAnsi="Aptos"/>
        </w:rPr>
        <w:t>Working</w:t>
      </w:r>
      <w:r w:rsidRPr="002F7F9F">
        <w:rPr>
          <w:rFonts w:ascii="Aptos" w:hAnsi="Aptos"/>
        </w:rPr>
        <w:t xml:space="preserve"> Safer Levy</w:t>
      </w:r>
      <w:r w:rsidR="66F7298F" w:rsidRPr="002F7F9F">
        <w:rPr>
          <w:rFonts w:ascii="Aptos" w:hAnsi="Aptos"/>
        </w:rPr>
        <w:t xml:space="preserve"> collected by ACC from employers.  The rate of levy is </w:t>
      </w:r>
      <w:r w:rsidR="2A3D0187" w:rsidRPr="002F7F9F">
        <w:rPr>
          <w:rFonts w:ascii="Aptos" w:hAnsi="Aptos"/>
        </w:rPr>
        <w:t>flat –currently $0.08/$100 of allowable earnings</w:t>
      </w:r>
      <w:r w:rsidR="7A94EF27" w:rsidRPr="002F7F9F">
        <w:rPr>
          <w:rFonts w:ascii="Aptos" w:hAnsi="Aptos"/>
        </w:rPr>
        <w:t>.</w:t>
      </w:r>
      <w:r w:rsidR="2A3D0187" w:rsidRPr="002F7F9F">
        <w:rPr>
          <w:rFonts w:ascii="Aptos" w:hAnsi="Aptos"/>
        </w:rPr>
        <w:t xml:space="preserve">  This means it is not risk related and a </w:t>
      </w:r>
      <w:r w:rsidR="12CC7E8A" w:rsidRPr="002F7F9F">
        <w:rPr>
          <w:rFonts w:ascii="Aptos" w:hAnsi="Aptos"/>
        </w:rPr>
        <w:t>low-risk</w:t>
      </w:r>
      <w:r w:rsidR="2A3D0187" w:rsidRPr="002F7F9F">
        <w:rPr>
          <w:rFonts w:ascii="Aptos" w:hAnsi="Aptos"/>
        </w:rPr>
        <w:t xml:space="preserve"> business wil</w:t>
      </w:r>
      <w:r w:rsidR="7D29889B" w:rsidRPr="002F7F9F">
        <w:rPr>
          <w:rFonts w:ascii="Aptos" w:hAnsi="Aptos"/>
        </w:rPr>
        <w:t>l</w:t>
      </w:r>
      <w:r w:rsidR="2A3D0187" w:rsidRPr="002F7F9F">
        <w:rPr>
          <w:rFonts w:ascii="Aptos" w:hAnsi="Aptos"/>
        </w:rPr>
        <w:t xml:space="preserve"> pay the same as a high ris</w:t>
      </w:r>
      <w:r w:rsidR="11D0F5D1" w:rsidRPr="002F7F9F">
        <w:rPr>
          <w:rFonts w:ascii="Aptos" w:hAnsi="Aptos"/>
        </w:rPr>
        <w:t>k one.</w:t>
      </w:r>
      <w:r w:rsidR="3EC27965" w:rsidRPr="002F7F9F">
        <w:rPr>
          <w:rFonts w:ascii="Aptos" w:hAnsi="Aptos"/>
        </w:rPr>
        <w:t xml:space="preserve">  This seems counter intuitive when ACC already rates businesses</w:t>
      </w:r>
      <w:r w:rsidR="5890D215" w:rsidRPr="002F7F9F">
        <w:rPr>
          <w:rFonts w:ascii="Aptos" w:hAnsi="Aptos"/>
        </w:rPr>
        <w:t xml:space="preserve"> and sectors</w:t>
      </w:r>
      <w:r w:rsidR="3EC27965" w:rsidRPr="002F7F9F">
        <w:rPr>
          <w:rFonts w:ascii="Aptos" w:hAnsi="Aptos"/>
        </w:rPr>
        <w:t xml:space="preserve"> for the wider ACC levy that pays for accident compensation.  If WorkSafe is targeting its resources at </w:t>
      </w:r>
      <w:r w:rsidR="2E4CF7A4" w:rsidRPr="002F7F9F">
        <w:rPr>
          <w:rFonts w:ascii="Aptos" w:hAnsi="Aptos"/>
        </w:rPr>
        <w:t>high-risk</w:t>
      </w:r>
      <w:r w:rsidR="3EC27965" w:rsidRPr="002F7F9F">
        <w:rPr>
          <w:rFonts w:ascii="Aptos" w:hAnsi="Aptos"/>
        </w:rPr>
        <w:t xml:space="preserve"> </w:t>
      </w:r>
      <w:r w:rsidR="28AB5615" w:rsidRPr="002F7F9F">
        <w:rPr>
          <w:rFonts w:ascii="Aptos" w:hAnsi="Aptos"/>
        </w:rPr>
        <w:t>activities,</w:t>
      </w:r>
      <w:r w:rsidR="2BC0EE9C" w:rsidRPr="002F7F9F">
        <w:rPr>
          <w:rFonts w:ascii="Aptos" w:hAnsi="Aptos"/>
        </w:rPr>
        <w:t xml:space="preserve"> then surely those who undertake such activit</w:t>
      </w:r>
      <w:r w:rsidR="2D485EF1" w:rsidRPr="002F7F9F">
        <w:rPr>
          <w:rFonts w:ascii="Aptos" w:hAnsi="Aptos"/>
        </w:rPr>
        <w:t>i</w:t>
      </w:r>
      <w:r w:rsidR="2BC0EE9C" w:rsidRPr="002F7F9F">
        <w:rPr>
          <w:rFonts w:ascii="Aptos" w:hAnsi="Aptos"/>
        </w:rPr>
        <w:t>es should bear a greater proportion of the cost.</w:t>
      </w:r>
      <w:r w:rsidR="028F56C9" w:rsidRPr="002F7F9F">
        <w:rPr>
          <w:rFonts w:ascii="Aptos" w:hAnsi="Aptos"/>
        </w:rPr>
        <w:t xml:space="preserve"> </w:t>
      </w:r>
    </w:p>
    <w:p w14:paraId="6CBE3000" w14:textId="6D8C0C95" w:rsidR="06097C81" w:rsidRPr="002F7F9F" w:rsidRDefault="06097C81" w:rsidP="06097C81">
      <w:pPr>
        <w:spacing w:line="259" w:lineRule="auto"/>
        <w:rPr>
          <w:rFonts w:ascii="Aptos" w:hAnsi="Aptos"/>
        </w:rPr>
      </w:pPr>
    </w:p>
    <w:p w14:paraId="1AC19A82" w14:textId="6996A346" w:rsidR="2BC0EE9C" w:rsidRPr="002F7F9F" w:rsidRDefault="2BC0EE9C" w:rsidP="06097C81">
      <w:pPr>
        <w:spacing w:line="259" w:lineRule="auto"/>
        <w:rPr>
          <w:rFonts w:ascii="Aptos" w:hAnsi="Aptos"/>
        </w:rPr>
      </w:pPr>
      <w:r w:rsidRPr="002F7F9F">
        <w:rPr>
          <w:rFonts w:ascii="Aptos" w:hAnsi="Aptos"/>
        </w:rPr>
        <w:t xml:space="preserve">We are not proposing a user-pays or fee for service model </w:t>
      </w:r>
      <w:r w:rsidR="12166A68" w:rsidRPr="002F7F9F">
        <w:rPr>
          <w:rFonts w:ascii="Aptos" w:hAnsi="Aptos"/>
        </w:rPr>
        <w:t xml:space="preserve">(other than in relation to licensing type activities) but think that more resource could be provided to WorkSafe without further Crown spending by applying </w:t>
      </w:r>
      <w:r w:rsidR="3DC125F1" w:rsidRPr="002F7F9F">
        <w:rPr>
          <w:rFonts w:ascii="Aptos" w:hAnsi="Aptos"/>
        </w:rPr>
        <w:t xml:space="preserve">a flexible levy. </w:t>
      </w:r>
      <w:r w:rsidR="424C7C79" w:rsidRPr="002F7F9F">
        <w:rPr>
          <w:rFonts w:ascii="Aptos" w:hAnsi="Aptos"/>
        </w:rPr>
        <w:t>As the Levy is currently underspent any residual funds should be used to support NGOs and others in the wider system.</w:t>
      </w:r>
    </w:p>
    <w:p w14:paraId="24292BAC" w14:textId="78FC5E24" w:rsidR="06097C81" w:rsidRPr="002F7F9F" w:rsidRDefault="06097C81" w:rsidP="06097C81">
      <w:pPr>
        <w:spacing w:line="259" w:lineRule="auto"/>
        <w:rPr>
          <w:rFonts w:ascii="Aptos" w:hAnsi="Aptos"/>
        </w:rPr>
      </w:pPr>
    </w:p>
    <w:p w14:paraId="2B7246B2" w14:textId="01AFAFD3" w:rsidR="3DC125F1" w:rsidRPr="002F7F9F" w:rsidRDefault="3DC125F1" w:rsidP="06097C81">
      <w:pPr>
        <w:spacing w:line="259" w:lineRule="auto"/>
        <w:rPr>
          <w:rFonts w:ascii="Aptos" w:hAnsi="Aptos"/>
        </w:rPr>
      </w:pPr>
      <w:r w:rsidRPr="002F7F9F">
        <w:rPr>
          <w:rFonts w:ascii="Aptos" w:hAnsi="Aptos"/>
        </w:rPr>
        <w:t xml:space="preserve">The wider ACC levy uses a claims rate assessment at a sector level with some individual adjustments for good or poor performers within it. </w:t>
      </w:r>
      <w:r w:rsidR="17E15B9B" w:rsidRPr="002F7F9F">
        <w:rPr>
          <w:rFonts w:ascii="Aptos" w:hAnsi="Aptos"/>
        </w:rPr>
        <w:t xml:space="preserve"> We do not consider that this weighting is currently sufficient of an incentive or deterrent to encourage firms to invest in health and safety. There is alr</w:t>
      </w:r>
      <w:r w:rsidR="3AC4B0C9" w:rsidRPr="002F7F9F">
        <w:rPr>
          <w:rFonts w:ascii="Aptos" w:hAnsi="Aptos"/>
        </w:rPr>
        <w:t>eady provision for greater loading in certain circumstances but according to a recent OIA</w:t>
      </w:r>
      <w:r w:rsidR="2B7DEC75" w:rsidRPr="002F7F9F">
        <w:rPr>
          <w:rFonts w:ascii="Aptos" w:hAnsi="Aptos"/>
        </w:rPr>
        <w:t>,</w:t>
      </w:r>
      <w:r w:rsidR="3AC4B0C9" w:rsidRPr="002F7F9F">
        <w:rPr>
          <w:rFonts w:ascii="Aptos" w:hAnsi="Aptos"/>
        </w:rPr>
        <w:t xml:space="preserve"> ACC has never invoked this</w:t>
      </w:r>
      <w:r w:rsidR="53E65ABF" w:rsidRPr="002F7F9F">
        <w:rPr>
          <w:rFonts w:ascii="Aptos" w:hAnsi="Aptos"/>
        </w:rPr>
        <w:t>.</w:t>
      </w:r>
      <w:r w:rsidR="028D68AA" w:rsidRPr="002F7F9F">
        <w:rPr>
          <w:rFonts w:ascii="Aptos" w:hAnsi="Aptos"/>
        </w:rPr>
        <w:t xml:space="preserve"> </w:t>
      </w:r>
    </w:p>
    <w:p w14:paraId="7EA71D20" w14:textId="251BF71B" w:rsidR="06097C81" w:rsidRPr="002F7F9F" w:rsidRDefault="06097C81" w:rsidP="06097C81">
      <w:pPr>
        <w:spacing w:line="259" w:lineRule="auto"/>
        <w:rPr>
          <w:rFonts w:ascii="Aptos" w:hAnsi="Aptos"/>
        </w:rPr>
      </w:pPr>
    </w:p>
    <w:p w14:paraId="714DAA2A" w14:textId="7400AF6E" w:rsidR="028D68AA" w:rsidRPr="002F7F9F" w:rsidRDefault="028D68AA" w:rsidP="06097C81">
      <w:pPr>
        <w:spacing w:line="259" w:lineRule="auto"/>
        <w:rPr>
          <w:rFonts w:ascii="Aptos" w:hAnsi="Aptos"/>
        </w:rPr>
      </w:pPr>
      <w:r w:rsidRPr="002F7F9F">
        <w:rPr>
          <w:rFonts w:ascii="Aptos" w:hAnsi="Aptos"/>
        </w:rPr>
        <w:t>Over time there may be an opportunity to revise the basis for lev</w:t>
      </w:r>
      <w:r w:rsidR="009D6CC7" w:rsidRPr="002F7F9F">
        <w:rPr>
          <w:rFonts w:ascii="Aptos" w:hAnsi="Aptos"/>
        </w:rPr>
        <w:t>ie</w:t>
      </w:r>
      <w:r w:rsidRPr="002F7F9F">
        <w:rPr>
          <w:rFonts w:ascii="Aptos" w:hAnsi="Aptos"/>
        </w:rPr>
        <w:t xml:space="preserve">s to reflect the issue of </w:t>
      </w:r>
      <w:r w:rsidR="0A903DE6" w:rsidRPr="002F7F9F">
        <w:rPr>
          <w:rFonts w:ascii="Aptos" w:hAnsi="Aptos"/>
        </w:rPr>
        <w:t>control</w:t>
      </w:r>
      <w:r w:rsidRPr="002F7F9F">
        <w:rPr>
          <w:rFonts w:ascii="Aptos" w:hAnsi="Aptos"/>
        </w:rPr>
        <w:t xml:space="preserve"> of risk rather than employment of workers.</w:t>
      </w:r>
      <w:r w:rsidR="7E16F3D1" w:rsidRPr="002F7F9F">
        <w:rPr>
          <w:rFonts w:ascii="Aptos" w:hAnsi="Aptos"/>
        </w:rPr>
        <w:t xml:space="preserve"> For example,  a construction management company that contracts out all the </w:t>
      </w:r>
      <w:r w:rsidR="0A71338D" w:rsidRPr="002F7F9F">
        <w:rPr>
          <w:rFonts w:ascii="Aptos" w:hAnsi="Aptos"/>
        </w:rPr>
        <w:t>high-risk</w:t>
      </w:r>
      <w:r w:rsidR="7E16F3D1" w:rsidRPr="002F7F9F">
        <w:rPr>
          <w:rFonts w:ascii="Aptos" w:hAnsi="Aptos"/>
        </w:rPr>
        <w:t xml:space="preserve"> work will pay a far lower levy than a vertically integrated company delivering the same project.</w:t>
      </w:r>
    </w:p>
    <w:p w14:paraId="7C42F631" w14:textId="5A43E699" w:rsidR="06097C81" w:rsidRPr="002F7F9F" w:rsidRDefault="06097C81" w:rsidP="06097C81">
      <w:pPr>
        <w:spacing w:line="259" w:lineRule="auto"/>
        <w:rPr>
          <w:rFonts w:ascii="Aptos" w:hAnsi="Aptos"/>
        </w:rPr>
      </w:pPr>
    </w:p>
    <w:p w14:paraId="58785D15" w14:textId="60FBE343" w:rsidR="53E65ABF" w:rsidRPr="002F7F9F" w:rsidRDefault="53E65ABF" w:rsidP="06097C81">
      <w:pPr>
        <w:spacing w:line="259" w:lineRule="auto"/>
        <w:rPr>
          <w:rFonts w:ascii="Aptos" w:hAnsi="Aptos"/>
        </w:rPr>
      </w:pPr>
      <w:r w:rsidRPr="002F7F9F">
        <w:rPr>
          <w:rFonts w:ascii="Aptos" w:hAnsi="Aptos"/>
        </w:rPr>
        <w:t xml:space="preserve">ACC has various mechanisms by which sector groups or others can apply for project funding. These schemes are dependent on being able to demonstrate a </w:t>
      </w:r>
      <w:r w:rsidR="38236626" w:rsidRPr="002F7F9F">
        <w:rPr>
          <w:rFonts w:ascii="Aptos" w:hAnsi="Aptos"/>
        </w:rPr>
        <w:t>positive</w:t>
      </w:r>
      <w:r w:rsidRPr="002F7F9F">
        <w:rPr>
          <w:rFonts w:ascii="Aptos" w:hAnsi="Aptos"/>
        </w:rPr>
        <w:t xml:space="preserve"> return on investment to the ACC </w:t>
      </w:r>
      <w:r w:rsidR="273442DD" w:rsidRPr="002F7F9F">
        <w:rPr>
          <w:rFonts w:ascii="Aptos" w:hAnsi="Aptos"/>
        </w:rPr>
        <w:t>scheme</w:t>
      </w:r>
      <w:r w:rsidR="502D1547" w:rsidRPr="002F7F9F">
        <w:rPr>
          <w:rFonts w:ascii="Aptos" w:hAnsi="Aptos"/>
        </w:rPr>
        <w:t>, as required by the ACC Act,</w:t>
      </w:r>
      <w:r w:rsidR="273442DD" w:rsidRPr="002F7F9F">
        <w:rPr>
          <w:rFonts w:ascii="Aptos" w:hAnsi="Aptos"/>
        </w:rPr>
        <w:t xml:space="preserve"> which severely limits their scope to things which are quite </w:t>
      </w:r>
      <w:r w:rsidR="1DB8B3C4" w:rsidRPr="002F7F9F">
        <w:rPr>
          <w:rFonts w:ascii="Aptos" w:hAnsi="Aptos"/>
        </w:rPr>
        <w:t>specific</w:t>
      </w:r>
      <w:r w:rsidR="273442DD" w:rsidRPr="002F7F9F">
        <w:rPr>
          <w:rFonts w:ascii="Aptos" w:hAnsi="Aptos"/>
        </w:rPr>
        <w:t xml:space="preserve"> and measurable</w:t>
      </w:r>
      <w:r w:rsidR="0D39B0AB" w:rsidRPr="002F7F9F">
        <w:rPr>
          <w:rFonts w:ascii="Aptos" w:hAnsi="Aptos"/>
        </w:rPr>
        <w:t xml:space="preserve"> in the short to medium term</w:t>
      </w:r>
      <w:r w:rsidR="273442DD" w:rsidRPr="002F7F9F">
        <w:rPr>
          <w:rFonts w:ascii="Aptos" w:hAnsi="Aptos"/>
        </w:rPr>
        <w:t xml:space="preserve"> </w:t>
      </w:r>
      <w:r w:rsidR="273442DD" w:rsidRPr="002F7F9F">
        <w:rPr>
          <w:rFonts w:ascii="Aptos" w:hAnsi="Aptos"/>
        </w:rPr>
        <w:lastRenderedPageBreak/>
        <w:t xml:space="preserve">rather than being able to fund more strategic </w:t>
      </w:r>
      <w:r w:rsidR="36F50864" w:rsidRPr="002F7F9F">
        <w:rPr>
          <w:rFonts w:ascii="Aptos" w:hAnsi="Aptos"/>
        </w:rPr>
        <w:t xml:space="preserve">long-term </w:t>
      </w:r>
      <w:r w:rsidR="273442DD" w:rsidRPr="002F7F9F">
        <w:rPr>
          <w:rFonts w:ascii="Aptos" w:hAnsi="Aptos"/>
        </w:rPr>
        <w:t xml:space="preserve">investment which builds capacity and </w:t>
      </w:r>
      <w:r w:rsidR="4B5EA2F8" w:rsidRPr="002F7F9F">
        <w:rPr>
          <w:rFonts w:ascii="Aptos" w:hAnsi="Aptos"/>
        </w:rPr>
        <w:t>capability</w:t>
      </w:r>
      <w:r w:rsidR="00104508" w:rsidRPr="002F7F9F">
        <w:rPr>
          <w:rFonts w:ascii="Aptos" w:hAnsi="Aptos"/>
        </w:rPr>
        <w:t>.  Most sector health and safety groups are not for profits or charities with limited resources –</w:t>
      </w:r>
      <w:r w:rsidR="0055714A">
        <w:rPr>
          <w:rFonts w:ascii="Aptos" w:hAnsi="Aptos"/>
        </w:rPr>
        <w:t xml:space="preserve"> </w:t>
      </w:r>
      <w:r w:rsidR="00104508" w:rsidRPr="002F7F9F">
        <w:rPr>
          <w:rFonts w:ascii="Aptos" w:hAnsi="Aptos"/>
        </w:rPr>
        <w:t xml:space="preserve">often </w:t>
      </w:r>
      <w:r w:rsidR="017BBCA4" w:rsidRPr="002F7F9F">
        <w:rPr>
          <w:rFonts w:ascii="Aptos" w:hAnsi="Aptos"/>
        </w:rPr>
        <w:t>borne</w:t>
      </w:r>
      <w:r w:rsidR="00104508" w:rsidRPr="002F7F9F">
        <w:rPr>
          <w:rFonts w:ascii="Aptos" w:hAnsi="Aptos"/>
        </w:rPr>
        <w:t xml:space="preserve"> disproportionately by a small number of players in a se</w:t>
      </w:r>
      <w:r w:rsidR="56A82C9B" w:rsidRPr="002F7F9F">
        <w:rPr>
          <w:rFonts w:ascii="Aptos" w:hAnsi="Aptos"/>
        </w:rPr>
        <w:t>ctor</w:t>
      </w:r>
      <w:r w:rsidR="3E6011DD" w:rsidRPr="002F7F9F">
        <w:rPr>
          <w:rFonts w:ascii="Aptos" w:hAnsi="Aptos"/>
        </w:rPr>
        <w:t xml:space="preserve"> (the exception is FISC which is partly funded from the Log Levy but heavily dependent on the ups and downs of the log price and market volatility).  Having more </w:t>
      </w:r>
      <w:r w:rsidR="236A03EA" w:rsidRPr="002F7F9F">
        <w:rPr>
          <w:rFonts w:ascii="Aptos" w:hAnsi="Aptos"/>
        </w:rPr>
        <w:t>longer-term</w:t>
      </w:r>
      <w:r w:rsidR="3E6011DD" w:rsidRPr="002F7F9F">
        <w:rPr>
          <w:rFonts w:ascii="Aptos" w:hAnsi="Aptos"/>
        </w:rPr>
        <w:t xml:space="preserve"> </w:t>
      </w:r>
      <w:r w:rsidR="2D79DC5A" w:rsidRPr="002F7F9F">
        <w:rPr>
          <w:rFonts w:ascii="Aptos" w:hAnsi="Aptos"/>
        </w:rPr>
        <w:t xml:space="preserve">core funding from ACC means that all those in the sector are </w:t>
      </w:r>
      <w:r w:rsidR="417413B3" w:rsidRPr="002F7F9F">
        <w:rPr>
          <w:rFonts w:ascii="Aptos" w:hAnsi="Aptos"/>
        </w:rPr>
        <w:t>contributing</w:t>
      </w:r>
      <w:r w:rsidR="2D79DC5A" w:rsidRPr="002F7F9F">
        <w:rPr>
          <w:rFonts w:ascii="Aptos" w:hAnsi="Aptos"/>
        </w:rPr>
        <w:t xml:space="preserve"> </w:t>
      </w:r>
      <w:r w:rsidR="3EB94C77" w:rsidRPr="002F7F9F">
        <w:rPr>
          <w:rFonts w:ascii="Aptos" w:hAnsi="Aptos"/>
        </w:rPr>
        <w:t>through their lev</w:t>
      </w:r>
      <w:r w:rsidR="000E34AE" w:rsidRPr="002F7F9F">
        <w:rPr>
          <w:rFonts w:ascii="Aptos" w:hAnsi="Aptos"/>
        </w:rPr>
        <w:t>ie</w:t>
      </w:r>
      <w:r w:rsidR="3EB94C77" w:rsidRPr="002F7F9F">
        <w:rPr>
          <w:rFonts w:ascii="Aptos" w:hAnsi="Aptos"/>
        </w:rPr>
        <w:t xml:space="preserve">s </w:t>
      </w:r>
      <w:r w:rsidR="2D79DC5A" w:rsidRPr="002F7F9F">
        <w:rPr>
          <w:rFonts w:ascii="Aptos" w:hAnsi="Aptos"/>
        </w:rPr>
        <w:t xml:space="preserve">and </w:t>
      </w:r>
      <w:r w:rsidR="158A2AB0" w:rsidRPr="002F7F9F">
        <w:rPr>
          <w:rFonts w:ascii="Aptos" w:hAnsi="Aptos"/>
        </w:rPr>
        <w:t>benefitting from reduced claims cost in due course.</w:t>
      </w:r>
    </w:p>
    <w:p w14:paraId="493DAB33" w14:textId="791DE6E0" w:rsidR="06097C81" w:rsidRPr="002F7F9F" w:rsidRDefault="06097C81" w:rsidP="06097C81">
      <w:pPr>
        <w:spacing w:line="259" w:lineRule="auto"/>
        <w:rPr>
          <w:rFonts w:ascii="Aptos" w:hAnsi="Aptos"/>
        </w:rPr>
      </w:pPr>
    </w:p>
    <w:p w14:paraId="3243BC18" w14:textId="534CAAF0" w:rsidR="00155252" w:rsidRPr="006D2710" w:rsidRDefault="750159EE" w:rsidP="00540DC9">
      <w:pPr>
        <w:spacing w:line="259" w:lineRule="auto"/>
        <w:rPr>
          <w:rFonts w:ascii="Aptos" w:hAnsi="Aptos"/>
        </w:rPr>
      </w:pPr>
      <w:r w:rsidRPr="002F7F9F">
        <w:rPr>
          <w:rFonts w:ascii="Aptos" w:hAnsi="Aptos"/>
        </w:rPr>
        <w:t xml:space="preserve">Having a system level view of priority issues, agreeing the contributions that different parts of the system can play in delivering harm reduction activities and then funding </w:t>
      </w:r>
      <w:r w:rsidR="336B51F0" w:rsidRPr="002F7F9F">
        <w:rPr>
          <w:rFonts w:ascii="Aptos" w:hAnsi="Aptos"/>
        </w:rPr>
        <w:t xml:space="preserve">all </w:t>
      </w:r>
      <w:r w:rsidRPr="002F7F9F">
        <w:rPr>
          <w:rFonts w:ascii="Aptos" w:hAnsi="Aptos"/>
        </w:rPr>
        <w:t xml:space="preserve">those </w:t>
      </w:r>
      <w:r w:rsidR="36EAE17B" w:rsidRPr="002F7F9F">
        <w:rPr>
          <w:rFonts w:ascii="Aptos" w:hAnsi="Aptos"/>
        </w:rPr>
        <w:t xml:space="preserve">most able </w:t>
      </w:r>
      <w:r w:rsidR="6178D61B" w:rsidRPr="002F7F9F">
        <w:rPr>
          <w:rFonts w:ascii="Aptos" w:hAnsi="Aptos"/>
        </w:rPr>
        <w:t xml:space="preserve">to make a difference (as with the Road to </w:t>
      </w:r>
      <w:r w:rsidR="24231564" w:rsidRPr="002F7F9F">
        <w:rPr>
          <w:rFonts w:ascii="Aptos" w:hAnsi="Aptos"/>
        </w:rPr>
        <w:t>Z</w:t>
      </w:r>
      <w:r w:rsidR="6178D61B" w:rsidRPr="002F7F9F">
        <w:rPr>
          <w:rFonts w:ascii="Aptos" w:hAnsi="Aptos"/>
        </w:rPr>
        <w:t>ero road safety strategy)</w:t>
      </w:r>
      <w:r w:rsidR="44EAD2A7" w:rsidRPr="002F7F9F">
        <w:rPr>
          <w:rFonts w:ascii="Aptos" w:hAnsi="Aptos"/>
        </w:rPr>
        <w:t xml:space="preserve"> is the only way in which we will achieve sustainable change.</w:t>
      </w:r>
    </w:p>
    <w:p w14:paraId="3BD446BE" w14:textId="28D396A5" w:rsidR="06097C81" w:rsidRPr="002F7F9F" w:rsidRDefault="06097C81" w:rsidP="06097C81">
      <w:pPr>
        <w:spacing w:line="259" w:lineRule="auto"/>
        <w:rPr>
          <w:rFonts w:ascii="Aptos" w:hAnsi="Aptos"/>
        </w:rPr>
      </w:pPr>
    </w:p>
    <w:p w14:paraId="0D4370A4" w14:textId="041FE929" w:rsidR="158A2AB0" w:rsidRPr="002F7F9F" w:rsidRDefault="158A2AB0" w:rsidP="06097C81">
      <w:pPr>
        <w:spacing w:line="259" w:lineRule="auto"/>
        <w:rPr>
          <w:rFonts w:ascii="Aptos" w:hAnsi="Aptos"/>
        </w:rPr>
      </w:pPr>
      <w:r w:rsidRPr="002F7F9F">
        <w:rPr>
          <w:rFonts w:ascii="Aptos" w:hAnsi="Aptos"/>
        </w:rPr>
        <w:t xml:space="preserve">The other major issue with funding is around occupational health, the cost and harm from which vastly outweighs acute safety events.  Much of this harm is not covered by ACC </w:t>
      </w:r>
      <w:r w:rsidR="6E70561E" w:rsidRPr="002F7F9F">
        <w:rPr>
          <w:rFonts w:ascii="Aptos" w:hAnsi="Aptos"/>
        </w:rPr>
        <w:t xml:space="preserve">and hence the cost is carried by the health, social welfare and disability systems as well as </w:t>
      </w:r>
      <w:r w:rsidR="356A5735" w:rsidRPr="002F7F9F">
        <w:rPr>
          <w:rFonts w:ascii="Aptos" w:hAnsi="Aptos"/>
        </w:rPr>
        <w:t xml:space="preserve">employers, </w:t>
      </w:r>
      <w:r w:rsidR="6E70561E" w:rsidRPr="002F7F9F">
        <w:rPr>
          <w:rFonts w:ascii="Aptos" w:hAnsi="Aptos"/>
        </w:rPr>
        <w:t xml:space="preserve">workers, whanau and the wider community.  We would </w:t>
      </w:r>
      <w:r w:rsidR="7C18C573" w:rsidRPr="002F7F9F">
        <w:rPr>
          <w:rFonts w:ascii="Aptos" w:hAnsi="Aptos"/>
        </w:rPr>
        <w:t xml:space="preserve">ideally like the scope of the ACC scheme to cover much more of this cost as envisaged by Sir Owen Woodhouse, but given this is unlikely to occur in the short term </w:t>
      </w:r>
      <w:r w:rsidR="0D5FC25C" w:rsidRPr="002F7F9F">
        <w:rPr>
          <w:rFonts w:ascii="Aptos" w:hAnsi="Aptos"/>
        </w:rPr>
        <w:t>there needs to be more thought given as to how to invest in prevention of occupational ill health whether physical or mental. This is not just a benefit to workers but takes pressure off already overloade</w:t>
      </w:r>
      <w:r w:rsidR="49D64EE8" w:rsidRPr="002F7F9F">
        <w:rPr>
          <w:rFonts w:ascii="Aptos" w:hAnsi="Aptos"/>
        </w:rPr>
        <w:t xml:space="preserve">d systems that are often ill prepared to address this type of issue.  Te Whata Ora for example does not have a publicly funded occupational health service </w:t>
      </w:r>
      <w:r w:rsidR="103FEAB1" w:rsidRPr="002F7F9F">
        <w:rPr>
          <w:rFonts w:ascii="Aptos" w:hAnsi="Aptos"/>
        </w:rPr>
        <w:t xml:space="preserve">so relies on general specialties to be able to diagnose and treat occupational conditions.  </w:t>
      </w:r>
      <w:r w:rsidR="27DCB8A9" w:rsidRPr="002F7F9F">
        <w:rPr>
          <w:rFonts w:ascii="Aptos" w:hAnsi="Aptos"/>
        </w:rPr>
        <w:t>Most qualified Occupational Physicians operate privately, including for those conditions covered by ACC</w:t>
      </w:r>
      <w:r w:rsidR="68FBE534" w:rsidRPr="002F7F9F">
        <w:rPr>
          <w:rFonts w:ascii="Aptos" w:hAnsi="Aptos"/>
        </w:rPr>
        <w:t>.</w:t>
      </w:r>
    </w:p>
    <w:p w14:paraId="1D1CAA70" w14:textId="7E806E3F" w:rsidR="06097C81" w:rsidRPr="002F7F9F" w:rsidRDefault="06097C81" w:rsidP="06097C81">
      <w:pPr>
        <w:spacing w:line="259" w:lineRule="auto"/>
        <w:rPr>
          <w:rFonts w:ascii="Aptos" w:hAnsi="Aptos"/>
        </w:rPr>
      </w:pPr>
    </w:p>
    <w:p w14:paraId="1137A773" w14:textId="3EA538DD" w:rsidR="68FBE534" w:rsidRPr="002F7F9F" w:rsidRDefault="68FBE534" w:rsidP="06097C81">
      <w:pPr>
        <w:spacing w:line="259" w:lineRule="auto"/>
        <w:rPr>
          <w:rFonts w:ascii="Aptos" w:hAnsi="Aptos"/>
        </w:rPr>
      </w:pPr>
      <w:r w:rsidRPr="002F7F9F">
        <w:rPr>
          <w:rFonts w:ascii="Aptos" w:hAnsi="Aptos"/>
        </w:rPr>
        <w:t xml:space="preserve">Activity to monitor and respond to significant workplace exposures to hazardous materials is fragmented and </w:t>
      </w:r>
      <w:r w:rsidR="38C8DBF5" w:rsidRPr="002F7F9F">
        <w:rPr>
          <w:rFonts w:ascii="Aptos" w:hAnsi="Aptos"/>
        </w:rPr>
        <w:t xml:space="preserve">under-resourced.  We think that having a confidential database </w:t>
      </w:r>
      <w:r w:rsidR="656740B7" w:rsidRPr="002F7F9F">
        <w:rPr>
          <w:rFonts w:ascii="Aptos" w:hAnsi="Aptos"/>
        </w:rPr>
        <w:t xml:space="preserve">of </w:t>
      </w:r>
      <w:r w:rsidR="34EFB12E" w:rsidRPr="002F7F9F">
        <w:rPr>
          <w:rFonts w:ascii="Aptos" w:hAnsi="Aptos"/>
        </w:rPr>
        <w:t>results would</w:t>
      </w:r>
      <w:r w:rsidR="38C8DBF5" w:rsidRPr="002F7F9F">
        <w:rPr>
          <w:rFonts w:ascii="Aptos" w:hAnsi="Aptos"/>
        </w:rPr>
        <w:t xml:space="preserve"> provide WorkSafe with a much better picture of the extent of </w:t>
      </w:r>
      <w:r w:rsidR="22CC67A5" w:rsidRPr="002F7F9F">
        <w:rPr>
          <w:rFonts w:ascii="Aptos" w:hAnsi="Aptos"/>
        </w:rPr>
        <w:t xml:space="preserve">such exposures than it has currently from the Carcinogens Survey.  </w:t>
      </w:r>
      <w:r w:rsidR="06EF5B78" w:rsidRPr="002F7F9F">
        <w:rPr>
          <w:rFonts w:ascii="Aptos" w:hAnsi="Aptos"/>
        </w:rPr>
        <w:t>We know, for exampl</w:t>
      </w:r>
      <w:r w:rsidR="75DC0468" w:rsidRPr="002F7F9F">
        <w:rPr>
          <w:rFonts w:ascii="Aptos" w:hAnsi="Aptos"/>
        </w:rPr>
        <w:t>e,</w:t>
      </w:r>
      <w:r w:rsidR="06EF5B78" w:rsidRPr="002F7F9F">
        <w:rPr>
          <w:rFonts w:ascii="Aptos" w:hAnsi="Aptos"/>
        </w:rPr>
        <w:t xml:space="preserve"> that in the asbestos removal industry there is virtually no monitoring of exposures inside an enclosure and hence no evidence of the </w:t>
      </w:r>
      <w:r w:rsidR="6B31A67A" w:rsidRPr="002F7F9F">
        <w:rPr>
          <w:rFonts w:ascii="Aptos" w:hAnsi="Aptos"/>
        </w:rPr>
        <w:t>effectiveness</w:t>
      </w:r>
      <w:r w:rsidR="06EF5B78" w:rsidRPr="002F7F9F">
        <w:rPr>
          <w:rFonts w:ascii="Aptos" w:hAnsi="Aptos"/>
        </w:rPr>
        <w:t xml:space="preserve"> of </w:t>
      </w:r>
      <w:r w:rsidR="31952450" w:rsidRPr="002F7F9F">
        <w:rPr>
          <w:rFonts w:ascii="Aptos" w:hAnsi="Aptos"/>
        </w:rPr>
        <w:t>control</w:t>
      </w:r>
      <w:r w:rsidR="06EF5B78" w:rsidRPr="002F7F9F">
        <w:rPr>
          <w:rFonts w:ascii="Aptos" w:hAnsi="Aptos"/>
        </w:rPr>
        <w:t xml:space="preserve"> measures to protect workers.</w:t>
      </w:r>
      <w:r w:rsidR="244AA6FA" w:rsidRPr="002F7F9F">
        <w:rPr>
          <w:rFonts w:ascii="Aptos" w:hAnsi="Aptos"/>
        </w:rPr>
        <w:t xml:space="preserve"> In priority areas such as exposure to welding fume</w:t>
      </w:r>
      <w:r w:rsidR="00640964">
        <w:rPr>
          <w:rFonts w:ascii="Aptos" w:hAnsi="Aptos"/>
        </w:rPr>
        <w:t>s</w:t>
      </w:r>
      <w:r w:rsidR="244AA6FA" w:rsidRPr="002F7F9F">
        <w:rPr>
          <w:rFonts w:ascii="Aptos" w:hAnsi="Aptos"/>
        </w:rPr>
        <w:t xml:space="preserve"> it is only if WorkSafe require</w:t>
      </w:r>
      <w:r w:rsidR="00BE1533">
        <w:rPr>
          <w:rFonts w:ascii="Aptos" w:hAnsi="Aptos"/>
        </w:rPr>
        <w:t>s</w:t>
      </w:r>
      <w:r w:rsidR="244AA6FA" w:rsidRPr="002F7F9F">
        <w:rPr>
          <w:rFonts w:ascii="Aptos" w:hAnsi="Aptos"/>
        </w:rPr>
        <w:t xml:space="preserve"> air testing to be done</w:t>
      </w:r>
      <w:r w:rsidR="0016416D">
        <w:rPr>
          <w:rFonts w:ascii="Aptos" w:hAnsi="Aptos"/>
        </w:rPr>
        <w:t>,</w:t>
      </w:r>
      <w:r w:rsidR="244AA6FA" w:rsidRPr="002F7F9F">
        <w:rPr>
          <w:rFonts w:ascii="Aptos" w:hAnsi="Aptos"/>
        </w:rPr>
        <w:t xml:space="preserve"> and ask for the results</w:t>
      </w:r>
      <w:r w:rsidR="0016416D">
        <w:rPr>
          <w:rFonts w:ascii="Aptos" w:hAnsi="Aptos"/>
        </w:rPr>
        <w:t>,</w:t>
      </w:r>
      <w:r w:rsidR="244AA6FA" w:rsidRPr="002F7F9F">
        <w:rPr>
          <w:rFonts w:ascii="Aptos" w:hAnsi="Aptos"/>
        </w:rPr>
        <w:t xml:space="preserve"> that they get to see them. </w:t>
      </w:r>
    </w:p>
    <w:p w14:paraId="189A6F67" w14:textId="57A47BA2" w:rsidR="06097C81" w:rsidRPr="002F7F9F" w:rsidRDefault="06097C81" w:rsidP="06097C81">
      <w:pPr>
        <w:spacing w:line="259" w:lineRule="auto"/>
        <w:rPr>
          <w:rFonts w:ascii="Aptos" w:hAnsi="Aptos"/>
        </w:rPr>
      </w:pPr>
    </w:p>
    <w:p w14:paraId="0E016CE6" w14:textId="4BF8E80D" w:rsidR="244AA6FA" w:rsidRPr="002F7F9F" w:rsidRDefault="244AA6FA" w:rsidP="06097C81">
      <w:pPr>
        <w:spacing w:line="259" w:lineRule="auto"/>
        <w:rPr>
          <w:rFonts w:ascii="Aptos" w:hAnsi="Aptos"/>
        </w:rPr>
      </w:pPr>
      <w:r w:rsidRPr="002F7F9F">
        <w:rPr>
          <w:rFonts w:ascii="Aptos" w:hAnsi="Aptos"/>
        </w:rPr>
        <w:t xml:space="preserve">The </w:t>
      </w:r>
      <w:r w:rsidR="632E76F7" w:rsidRPr="002F7F9F">
        <w:rPr>
          <w:rFonts w:ascii="Aptos" w:hAnsi="Aptos"/>
        </w:rPr>
        <w:t>HSW (General Risk and Workplace Management ) Reg</w:t>
      </w:r>
      <w:r w:rsidR="63B82C02" w:rsidRPr="002F7F9F">
        <w:rPr>
          <w:rFonts w:ascii="Aptos" w:hAnsi="Aptos"/>
        </w:rPr>
        <w:t>s contain requirements for health and exposure monitoring and reporting in certain cases</w:t>
      </w:r>
      <w:r w:rsidR="1CAA80E8" w:rsidRPr="002F7F9F">
        <w:rPr>
          <w:rFonts w:ascii="Aptos" w:hAnsi="Aptos"/>
        </w:rPr>
        <w:t xml:space="preserve">, but these are not well known about or followed and the fine levels </w:t>
      </w:r>
      <w:r w:rsidR="25D25BB5" w:rsidRPr="002F7F9F">
        <w:rPr>
          <w:rFonts w:ascii="Aptos" w:hAnsi="Aptos"/>
        </w:rPr>
        <w:t xml:space="preserve">(maximum fine is $50,000) </w:t>
      </w:r>
      <w:r w:rsidR="1CAA80E8" w:rsidRPr="002F7F9F">
        <w:rPr>
          <w:rFonts w:ascii="Aptos" w:hAnsi="Aptos"/>
        </w:rPr>
        <w:t>for failing to meet the duty are so low as to be meaningless</w:t>
      </w:r>
      <w:r w:rsidR="005E53A9">
        <w:rPr>
          <w:rFonts w:ascii="Aptos" w:hAnsi="Aptos"/>
        </w:rPr>
        <w:t xml:space="preserve">, </w:t>
      </w:r>
      <w:r w:rsidR="4A55EEFB" w:rsidRPr="002F7F9F">
        <w:rPr>
          <w:rFonts w:ascii="Aptos" w:hAnsi="Aptos"/>
        </w:rPr>
        <w:t>especially given the low level of enforcement activity.</w:t>
      </w:r>
      <w:r w:rsidR="7EC9EE22" w:rsidRPr="002F7F9F">
        <w:rPr>
          <w:rFonts w:ascii="Aptos" w:hAnsi="Aptos"/>
        </w:rPr>
        <w:t xml:space="preserve">  </w:t>
      </w:r>
    </w:p>
    <w:p w14:paraId="4D51119A" w14:textId="77777777" w:rsidR="00A554BD" w:rsidRPr="002F7F9F" w:rsidRDefault="00A554BD" w:rsidP="06097C81">
      <w:pPr>
        <w:spacing w:line="259" w:lineRule="auto"/>
        <w:rPr>
          <w:rFonts w:ascii="Aptos" w:hAnsi="Aptos"/>
        </w:rPr>
      </w:pPr>
    </w:p>
    <w:p w14:paraId="1FCFFBA9" w14:textId="77777777" w:rsidR="00A554BD" w:rsidRDefault="00A554BD" w:rsidP="00A554BD"/>
    <w:p w14:paraId="3F469221" w14:textId="77777777" w:rsidR="00540DC9" w:rsidRPr="006D2710" w:rsidRDefault="00540DC9" w:rsidP="00540DC9">
      <w:pPr>
        <w:spacing w:line="259" w:lineRule="auto"/>
        <w:rPr>
          <w:rFonts w:ascii="Aptos" w:hAnsi="Aptos"/>
          <w:u w:val="single"/>
        </w:rPr>
      </w:pPr>
      <w:r w:rsidRPr="006D2710">
        <w:rPr>
          <w:rFonts w:ascii="Aptos" w:hAnsi="Aptos"/>
          <w:u w:val="single"/>
        </w:rPr>
        <w:t>We recommend that Government reviews injury prevention funding arrangements with a view towards:</w:t>
      </w:r>
      <w:r w:rsidRPr="006D2710">
        <w:rPr>
          <w:rFonts w:ascii="Aptos" w:hAnsi="Aptos"/>
          <w:u w:val="single"/>
        </w:rPr>
        <w:tab/>
      </w:r>
    </w:p>
    <w:p w14:paraId="1160C6C5" w14:textId="77777777" w:rsidR="00540DC9" w:rsidRPr="006D2710" w:rsidRDefault="00540DC9" w:rsidP="00540DC9">
      <w:pPr>
        <w:pStyle w:val="ListParagraph"/>
        <w:numPr>
          <w:ilvl w:val="0"/>
          <w:numId w:val="48"/>
        </w:numPr>
        <w:spacing w:line="259" w:lineRule="auto"/>
        <w:rPr>
          <w:rFonts w:ascii="Aptos" w:hAnsi="Aptos"/>
          <w:u w:val="single"/>
        </w:rPr>
      </w:pPr>
      <w:r w:rsidRPr="006D2710">
        <w:rPr>
          <w:rFonts w:ascii="Aptos" w:hAnsi="Aptos"/>
          <w:u w:val="single"/>
        </w:rPr>
        <w:t>Risk-rating the Working Safer Levy and increasing risk rating within the ACC work account levy setting process</w:t>
      </w:r>
    </w:p>
    <w:p w14:paraId="48B631AF" w14:textId="77777777" w:rsidR="00540DC9" w:rsidRPr="006D2710" w:rsidRDefault="00540DC9" w:rsidP="00540DC9">
      <w:pPr>
        <w:pStyle w:val="ListParagraph"/>
        <w:numPr>
          <w:ilvl w:val="0"/>
          <w:numId w:val="48"/>
        </w:numPr>
        <w:spacing w:line="259" w:lineRule="auto"/>
        <w:rPr>
          <w:rFonts w:ascii="Aptos" w:hAnsi="Aptos"/>
          <w:u w:val="single"/>
        </w:rPr>
      </w:pPr>
      <w:r w:rsidRPr="006D2710">
        <w:rPr>
          <w:rFonts w:ascii="Aptos" w:hAnsi="Aptos"/>
          <w:u w:val="single"/>
        </w:rPr>
        <w:t>Amending the balance between the Working Safer and ACC work account levies to permit greater injury prevention funding that sits outside of ACC’s narrow ROI calculation of reduction in levies</w:t>
      </w:r>
    </w:p>
    <w:p w14:paraId="109CD04F" w14:textId="1128C273" w:rsidR="00540DC9" w:rsidRDefault="00540DC9" w:rsidP="00540DC9">
      <w:pPr>
        <w:pStyle w:val="ListParagraph"/>
        <w:numPr>
          <w:ilvl w:val="0"/>
          <w:numId w:val="48"/>
        </w:numPr>
        <w:spacing w:line="259" w:lineRule="auto"/>
        <w:rPr>
          <w:rFonts w:ascii="Aptos" w:hAnsi="Aptos"/>
          <w:u w:val="single"/>
        </w:rPr>
      </w:pPr>
      <w:r w:rsidRPr="006D2710">
        <w:rPr>
          <w:rFonts w:ascii="Aptos" w:hAnsi="Aptos"/>
          <w:u w:val="single"/>
        </w:rPr>
        <w:t xml:space="preserve"> Providing greater certainty and stability of long-term funding for partners</w:t>
      </w:r>
    </w:p>
    <w:p w14:paraId="35710B5D" w14:textId="317AB6D3" w:rsidR="00540DC9" w:rsidRPr="006D2710" w:rsidRDefault="00540DC9" w:rsidP="00540DC9">
      <w:pPr>
        <w:pStyle w:val="ListParagraph"/>
        <w:numPr>
          <w:ilvl w:val="0"/>
          <w:numId w:val="48"/>
        </w:numPr>
        <w:spacing w:line="259" w:lineRule="auto"/>
        <w:rPr>
          <w:rFonts w:ascii="Aptos" w:hAnsi="Aptos"/>
          <w:u w:val="single"/>
        </w:rPr>
      </w:pPr>
      <w:r>
        <w:rPr>
          <w:rFonts w:ascii="Aptos" w:hAnsi="Aptos"/>
          <w:u w:val="single"/>
        </w:rPr>
        <w:t>Significantly increasing investment in occupational health injury prevention initiatives.</w:t>
      </w:r>
    </w:p>
    <w:p w14:paraId="427321BC" w14:textId="77777777" w:rsidR="00C71E5C" w:rsidRDefault="00C71E5C">
      <w:pPr>
        <w:rPr>
          <w:rFonts w:asciiTheme="majorHAnsi" w:hAnsiTheme="majorHAnsi" w:cs="Lucida Sans"/>
          <w:b/>
          <w:bCs/>
          <w:color w:val="04476E"/>
          <w:spacing w:val="-6"/>
          <w:sz w:val="36"/>
          <w:szCs w:val="36"/>
        </w:rPr>
      </w:pPr>
      <w:r>
        <w:rPr>
          <w:rFonts w:asciiTheme="majorHAnsi" w:hAnsiTheme="majorHAnsi"/>
          <w:b/>
          <w:bCs/>
          <w:color w:val="04476E"/>
          <w:spacing w:val="-6"/>
          <w:sz w:val="36"/>
          <w:szCs w:val="36"/>
        </w:rPr>
        <w:br w:type="page"/>
      </w:r>
    </w:p>
    <w:p w14:paraId="08F64B14" w14:textId="2C07AB98" w:rsidR="00A554BD" w:rsidRPr="00C71E5C" w:rsidRDefault="00AB70A2" w:rsidP="00C71E5C">
      <w:pPr>
        <w:pStyle w:val="BodyText"/>
        <w:spacing w:line="400" w:lineRule="exact"/>
        <w:outlineLvl w:val="0"/>
        <w:rPr>
          <w:rFonts w:asciiTheme="majorHAnsi" w:hAnsiTheme="majorHAnsi"/>
          <w:b/>
          <w:bCs/>
          <w:color w:val="04476E"/>
          <w:spacing w:val="-6"/>
          <w:sz w:val="36"/>
          <w:szCs w:val="36"/>
        </w:rPr>
      </w:pPr>
      <w:bookmarkStart w:id="31" w:name="_Toc177397985"/>
      <w:r w:rsidRPr="00C71E5C">
        <w:rPr>
          <w:rFonts w:asciiTheme="majorHAnsi" w:hAnsiTheme="majorHAnsi"/>
          <w:b/>
          <w:bCs/>
          <w:color w:val="04476E"/>
          <w:spacing w:val="-6"/>
          <w:sz w:val="36"/>
          <w:szCs w:val="36"/>
        </w:rPr>
        <w:lastRenderedPageBreak/>
        <w:t>THE HEALTH AND SAFETY AT WORK STRATEGY</w:t>
      </w:r>
      <w:bookmarkEnd w:id="31"/>
    </w:p>
    <w:p w14:paraId="300ED657" w14:textId="226EAF17" w:rsidR="000742FE" w:rsidRPr="000742FE" w:rsidRDefault="000742FE" w:rsidP="000742FE">
      <w:pPr>
        <w:pStyle w:val="Heading2"/>
        <w:rPr>
          <w:b/>
          <w:bCs/>
        </w:rPr>
      </w:pPr>
      <w:bookmarkStart w:id="32" w:name="_Toc177397986"/>
      <w:r>
        <w:rPr>
          <w:b/>
          <w:bCs/>
        </w:rPr>
        <w:t>What happened to the 2018 Strategy?</w:t>
      </w:r>
      <w:bookmarkEnd w:id="32"/>
    </w:p>
    <w:p w14:paraId="6BAAF915" w14:textId="08EAF313" w:rsidR="00A554BD" w:rsidRDefault="00A554BD" w:rsidP="00A554BD">
      <w:r>
        <w:t>An object lesson in the failures of Government and Government agencies to deliver on health and safety priorities is the implementation of the Health and Safety at Work Strategy 2018-2028.  Section 195 of the Health and Safety at Work Act 2015 states:</w:t>
      </w:r>
    </w:p>
    <w:p w14:paraId="19228B06" w14:textId="77777777" w:rsidR="00A554BD" w:rsidRDefault="00A554BD" w:rsidP="00A554BD">
      <w:pPr>
        <w:ind w:left="720"/>
        <w:rPr>
          <w:b/>
          <w:bCs/>
          <w:i/>
          <w:iCs/>
          <w:lang w:val="en-US"/>
        </w:rPr>
      </w:pPr>
    </w:p>
    <w:p w14:paraId="5D3C2A56" w14:textId="77777777" w:rsidR="00A554BD" w:rsidRPr="00394B7A" w:rsidRDefault="00A554BD" w:rsidP="00A554BD">
      <w:pPr>
        <w:ind w:left="720"/>
        <w:rPr>
          <w:b/>
          <w:bCs/>
          <w:i/>
          <w:iCs/>
          <w:lang w:val="en-US"/>
        </w:rPr>
      </w:pPr>
      <w:r w:rsidRPr="00394B7A">
        <w:rPr>
          <w:b/>
          <w:bCs/>
          <w:i/>
          <w:iCs/>
          <w:lang w:val="en-US"/>
        </w:rPr>
        <w:t>195</w:t>
      </w:r>
      <w:r>
        <w:rPr>
          <w:b/>
          <w:bCs/>
          <w:i/>
          <w:iCs/>
          <w:lang w:val="en-US"/>
        </w:rPr>
        <w:t xml:space="preserve"> </w:t>
      </w:r>
      <w:r w:rsidRPr="00394B7A">
        <w:rPr>
          <w:b/>
          <w:bCs/>
          <w:i/>
          <w:iCs/>
          <w:lang w:val="en-US"/>
        </w:rPr>
        <w:t>Health and Safety at Work Strategy</w:t>
      </w:r>
    </w:p>
    <w:p w14:paraId="79ED751C" w14:textId="0A896D1A" w:rsidR="00A554BD" w:rsidRPr="00394B7A" w:rsidRDefault="00A554BD" w:rsidP="004D27F0">
      <w:pPr>
        <w:ind w:left="720"/>
        <w:rPr>
          <w:i/>
          <w:iCs/>
          <w:lang w:val="en-US"/>
        </w:rPr>
      </w:pPr>
      <w:r w:rsidRPr="00394B7A">
        <w:rPr>
          <w:i/>
          <w:iCs/>
          <w:lang w:val="en-US"/>
        </w:rPr>
        <w:t>(1)</w:t>
      </w:r>
      <w:r w:rsidRPr="002A416A">
        <w:rPr>
          <w:i/>
          <w:iCs/>
          <w:lang w:val="en-US"/>
        </w:rPr>
        <w:t xml:space="preserve"> </w:t>
      </w:r>
      <w:r w:rsidRPr="00394B7A">
        <w:rPr>
          <w:i/>
          <w:iCs/>
          <w:lang w:val="en-US"/>
        </w:rPr>
        <w:t>The Minister must publish a strategy, called the Health and Safety at Work Strategy, that sets out the Government’s overall direction in improving the health and safety of workers.</w:t>
      </w:r>
      <w:r w:rsidR="004D27F0">
        <w:rPr>
          <w:i/>
          <w:iCs/>
          <w:lang w:val="en-US"/>
        </w:rPr>
        <w:t>…</w:t>
      </w:r>
    </w:p>
    <w:p w14:paraId="25B2BE3E" w14:textId="77777777" w:rsidR="00A554BD" w:rsidRDefault="00A554BD" w:rsidP="00A554BD">
      <w:pPr>
        <w:ind w:left="720"/>
        <w:rPr>
          <w:i/>
          <w:iCs/>
          <w:lang w:val="en-US"/>
        </w:rPr>
      </w:pPr>
    </w:p>
    <w:p w14:paraId="553908CB" w14:textId="77777777" w:rsidR="00A554BD" w:rsidRPr="00394B7A" w:rsidRDefault="00A554BD" w:rsidP="00A554BD">
      <w:pPr>
        <w:ind w:left="720"/>
        <w:rPr>
          <w:i/>
          <w:iCs/>
          <w:lang w:val="en-US"/>
        </w:rPr>
      </w:pPr>
      <w:r w:rsidRPr="00394B7A">
        <w:rPr>
          <w:i/>
          <w:iCs/>
          <w:lang w:val="en-US"/>
        </w:rPr>
        <w:t>(5)</w:t>
      </w:r>
      <w:r w:rsidRPr="002A416A">
        <w:rPr>
          <w:i/>
          <w:iCs/>
          <w:lang w:val="en-US"/>
        </w:rPr>
        <w:t xml:space="preserve"> </w:t>
      </w:r>
      <w:r w:rsidRPr="00394B7A">
        <w:rPr>
          <w:i/>
          <w:iCs/>
          <w:lang w:val="en-US"/>
        </w:rPr>
        <w:t>The strategy must—</w:t>
      </w:r>
    </w:p>
    <w:p w14:paraId="08133D66" w14:textId="77777777" w:rsidR="00A554BD" w:rsidRPr="00394B7A" w:rsidRDefault="00A554BD" w:rsidP="00A554BD">
      <w:pPr>
        <w:ind w:left="1440"/>
        <w:rPr>
          <w:i/>
          <w:iCs/>
          <w:lang w:val="en-US"/>
        </w:rPr>
      </w:pPr>
      <w:r w:rsidRPr="00394B7A">
        <w:rPr>
          <w:i/>
          <w:iCs/>
          <w:lang w:val="en-US"/>
        </w:rPr>
        <w:t>(a)</w:t>
      </w:r>
      <w:r w:rsidRPr="002A416A">
        <w:rPr>
          <w:i/>
          <w:iCs/>
          <w:lang w:val="en-US"/>
        </w:rPr>
        <w:t xml:space="preserve"> </w:t>
      </w:r>
      <w:r w:rsidRPr="00394B7A">
        <w:rPr>
          <w:i/>
          <w:iCs/>
          <w:lang w:val="en-US"/>
        </w:rPr>
        <w:t>identify any significant issues relating to capacity or capability in the work health and safety system and any plan for addressing the issues; and</w:t>
      </w:r>
    </w:p>
    <w:p w14:paraId="652729E0" w14:textId="77777777" w:rsidR="00A554BD" w:rsidRPr="00394B7A" w:rsidRDefault="00A554BD" w:rsidP="00A554BD">
      <w:pPr>
        <w:ind w:left="1440"/>
        <w:rPr>
          <w:i/>
          <w:iCs/>
          <w:lang w:val="en-US"/>
        </w:rPr>
      </w:pPr>
      <w:r w:rsidRPr="00394B7A">
        <w:rPr>
          <w:i/>
          <w:iCs/>
          <w:lang w:val="en-US"/>
        </w:rPr>
        <w:t>(b)</w:t>
      </w:r>
      <w:r w:rsidRPr="002A416A">
        <w:rPr>
          <w:i/>
          <w:iCs/>
          <w:lang w:val="en-US"/>
        </w:rPr>
        <w:t xml:space="preserve"> </w:t>
      </w:r>
      <w:r w:rsidRPr="00394B7A">
        <w:rPr>
          <w:i/>
          <w:iCs/>
          <w:lang w:val="en-US"/>
        </w:rPr>
        <w:t>take account of ACC’s injury prevention priorities.</w:t>
      </w:r>
    </w:p>
    <w:p w14:paraId="2A7E5C94" w14:textId="77777777" w:rsidR="00A554BD" w:rsidRDefault="00A554BD" w:rsidP="00A554BD">
      <w:pPr>
        <w:ind w:left="720"/>
        <w:rPr>
          <w:i/>
          <w:iCs/>
          <w:lang w:val="en-US"/>
        </w:rPr>
      </w:pPr>
    </w:p>
    <w:p w14:paraId="4CB26A50" w14:textId="77777777" w:rsidR="00A554BD" w:rsidRPr="00394B7A" w:rsidRDefault="00A554BD" w:rsidP="00A554BD">
      <w:pPr>
        <w:ind w:left="720"/>
        <w:rPr>
          <w:i/>
          <w:iCs/>
          <w:lang w:val="en-US"/>
        </w:rPr>
      </w:pPr>
      <w:r w:rsidRPr="00394B7A">
        <w:rPr>
          <w:i/>
          <w:iCs/>
          <w:lang w:val="en-US"/>
        </w:rPr>
        <w:t>(6)</w:t>
      </w:r>
      <w:r w:rsidRPr="002A416A">
        <w:rPr>
          <w:i/>
          <w:iCs/>
          <w:lang w:val="en-US"/>
        </w:rPr>
        <w:t xml:space="preserve"> </w:t>
      </w:r>
      <w:r w:rsidRPr="00394B7A">
        <w:rPr>
          <w:i/>
          <w:iCs/>
          <w:lang w:val="en-US"/>
        </w:rPr>
        <w:t>The strategy, or amendments to it or replacement of it, must be developed by a process that involves consultation—</w:t>
      </w:r>
    </w:p>
    <w:p w14:paraId="73A56304" w14:textId="77777777" w:rsidR="00A554BD" w:rsidRPr="00394B7A" w:rsidRDefault="00A554BD" w:rsidP="00A554BD">
      <w:pPr>
        <w:ind w:left="1440"/>
        <w:rPr>
          <w:i/>
          <w:iCs/>
          <w:lang w:val="en-US"/>
        </w:rPr>
      </w:pPr>
      <w:r w:rsidRPr="00394B7A">
        <w:rPr>
          <w:i/>
          <w:iCs/>
          <w:lang w:val="en-US"/>
        </w:rPr>
        <w:t>(a)</w:t>
      </w:r>
      <w:r w:rsidRPr="002A416A">
        <w:rPr>
          <w:i/>
          <w:iCs/>
          <w:lang w:val="en-US"/>
        </w:rPr>
        <w:t xml:space="preserve"> </w:t>
      </w:r>
      <w:r w:rsidRPr="00394B7A">
        <w:rPr>
          <w:i/>
          <w:iCs/>
          <w:lang w:val="en-US"/>
        </w:rPr>
        <w:t>with regulatory agencies; and</w:t>
      </w:r>
    </w:p>
    <w:p w14:paraId="2AD47622" w14:textId="44BC7E93" w:rsidR="00A554BD" w:rsidRPr="00394B7A" w:rsidRDefault="00A554BD" w:rsidP="00A554BD">
      <w:pPr>
        <w:ind w:left="1440"/>
        <w:rPr>
          <w:i/>
          <w:iCs/>
          <w:lang w:val="en-US"/>
        </w:rPr>
      </w:pPr>
      <w:r w:rsidRPr="00394B7A">
        <w:rPr>
          <w:i/>
          <w:iCs/>
          <w:lang w:val="en-US"/>
        </w:rPr>
        <w:t>(b)</w:t>
      </w:r>
      <w:r w:rsidRPr="002A416A">
        <w:rPr>
          <w:i/>
          <w:iCs/>
          <w:lang w:val="en-US"/>
        </w:rPr>
        <w:t xml:space="preserve"> </w:t>
      </w:r>
      <w:r w:rsidRPr="00394B7A">
        <w:rPr>
          <w:i/>
          <w:iCs/>
          <w:lang w:val="en-US"/>
        </w:rPr>
        <w:t>with other persons who have an interest in work health and safety in New Zealand or with organisations representing those persons</w:t>
      </w:r>
      <w:r w:rsidR="004D27F0">
        <w:rPr>
          <w:i/>
          <w:iCs/>
          <w:lang w:val="en-US"/>
        </w:rPr>
        <w:t>….</w:t>
      </w:r>
    </w:p>
    <w:p w14:paraId="33C4BC8F" w14:textId="77777777" w:rsidR="00A554BD" w:rsidRDefault="00A554BD" w:rsidP="00A554BD">
      <w:pPr>
        <w:ind w:left="720"/>
        <w:rPr>
          <w:i/>
          <w:iCs/>
          <w:lang w:val="en-US"/>
        </w:rPr>
      </w:pPr>
    </w:p>
    <w:p w14:paraId="1FF47F6F" w14:textId="77777777" w:rsidR="00A554BD" w:rsidRDefault="00A554BD" w:rsidP="00A554BD">
      <w:r>
        <w:t xml:space="preserve">Work on the Strategy was begun under the previous National-Act-Maori Party coalition in 2016 and completed by the Labour-NZ First-Green Party coalition in 2018.  The Strategy is available here: </w:t>
      </w:r>
      <w:hyperlink r:id="rId18">
        <w:r w:rsidRPr="645B0D55">
          <w:rPr>
            <w:rStyle w:val="Hyperlink"/>
          </w:rPr>
          <w:t>https://www.mbie.govt.nz/assets/69361d5a98/health-safety-at-work-strategy-2018-2028.pdf</w:t>
        </w:r>
      </w:hyperlink>
      <w:r>
        <w:t xml:space="preserve"> </w:t>
      </w:r>
    </w:p>
    <w:p w14:paraId="01C99307" w14:textId="77777777" w:rsidR="00A554BD" w:rsidRDefault="00A554BD" w:rsidP="00A554BD"/>
    <w:p w14:paraId="2D1A34E2" w14:textId="77777777" w:rsidR="00A554BD" w:rsidRDefault="00A554BD" w:rsidP="00A554BD">
      <w:r>
        <w:t>The Strategy itself is reasonable in its framing and aspirations, if somewhat limited in its aspirations.  What it lacks is implementation.  The strategy commits the Government to a series of action plans, dashboard and regular refresh.  See for example this diagram from the Strategy:</w:t>
      </w:r>
    </w:p>
    <w:p w14:paraId="616B8490" w14:textId="77777777" w:rsidR="00A554BD" w:rsidRPr="00AC1C0C" w:rsidRDefault="00A554BD" w:rsidP="00A554BD">
      <w:r w:rsidRPr="0050701A">
        <w:rPr>
          <w:noProof/>
        </w:rPr>
        <w:lastRenderedPageBreak/>
        <w:drawing>
          <wp:inline distT="0" distB="0" distL="0" distR="0" wp14:anchorId="7C9AFC1D" wp14:editId="60C6D0E1">
            <wp:extent cx="5943600" cy="2102485"/>
            <wp:effectExtent l="0" t="0" r="0" b="5715"/>
            <wp:docPr id="847975963" name="Picture 1" descr="A diagram of a diagram&#10;&#10;Description automatically generated">
              <a:extLst xmlns:a="http://schemas.openxmlformats.org/drawingml/2006/main">
                <a:ext uri="{FF2B5EF4-FFF2-40B4-BE49-F238E27FC236}">
                  <a16:creationId xmlns:a16="http://schemas.microsoft.com/office/drawing/2014/main" id="{493DB180-4013-A4D9-003B-51E87689F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5963" name="Picture 1" descr="A diagram of a diagram&#10;&#10;Description automatically generated">
                      <a:extLst>
                        <a:ext uri="{FF2B5EF4-FFF2-40B4-BE49-F238E27FC236}">
                          <a16:creationId xmlns:a16="http://schemas.microsoft.com/office/drawing/2014/main" id="{493DB180-4013-A4D9-003B-51E87689F046}"/>
                        </a:ext>
                      </a:extLst>
                    </pic:cNvPr>
                    <pic:cNvPicPr>
                      <a:picLocks noChangeAspect="1"/>
                    </pic:cNvPicPr>
                  </pic:nvPicPr>
                  <pic:blipFill>
                    <a:blip r:embed="rId19"/>
                    <a:stretch>
                      <a:fillRect/>
                    </a:stretch>
                  </pic:blipFill>
                  <pic:spPr>
                    <a:xfrm>
                      <a:off x="0" y="0"/>
                      <a:ext cx="5943600" cy="2102485"/>
                    </a:xfrm>
                    <a:prstGeom prst="rect">
                      <a:avLst/>
                    </a:prstGeom>
                  </pic:spPr>
                </pic:pic>
              </a:graphicData>
            </a:graphic>
          </wp:inline>
        </w:drawing>
      </w:r>
    </w:p>
    <w:p w14:paraId="74C97D93" w14:textId="59E6830B" w:rsidR="00A554BD" w:rsidRDefault="00A554BD" w:rsidP="00A554BD">
      <w:r>
        <w:t>Why did the Strategy fail?  The COVID-19 Response took an enormous amount of Ministerial and Government agency focus and resources out of the system but the Strategy was</w:t>
      </w:r>
      <w:r w:rsidR="004D27F0">
        <w:t xml:space="preserve"> moribund before that</w:t>
      </w:r>
      <w:r>
        <w:t>.</w:t>
      </w:r>
    </w:p>
    <w:p w14:paraId="70E35481" w14:textId="77777777" w:rsidR="00A554BD" w:rsidRDefault="00A554BD" w:rsidP="00A554BD"/>
    <w:p w14:paraId="5C2DCC7A" w14:textId="05ABD0FC" w:rsidR="00A554BD" w:rsidRDefault="00A554BD" w:rsidP="00A554BD">
      <w:r>
        <w:t>Conversations with those present at the early reference groups sessions suggest that no agency was prepared to take responsibly for and resource the government action plan</w:t>
      </w:r>
      <w:r w:rsidR="00EE0BA7">
        <w:t>.</w:t>
      </w:r>
      <w:r>
        <w:t xml:space="preserve"> </w:t>
      </w:r>
      <w:r w:rsidR="00EE0BA7">
        <w:t>Sta</w:t>
      </w:r>
      <w:r>
        <w:t xml:space="preserve">keholders </w:t>
      </w:r>
      <w:r w:rsidR="00661C76">
        <w:t xml:space="preserve">were </w:t>
      </w:r>
      <w:r>
        <w:t>greatly outnumbered by officials</w:t>
      </w:r>
      <w:r w:rsidR="00EE0BA7">
        <w:t xml:space="preserve"> at the early meetings.</w:t>
      </w:r>
    </w:p>
    <w:p w14:paraId="640A48A6" w14:textId="77777777" w:rsidR="00A554BD" w:rsidRDefault="00A554BD" w:rsidP="00A554BD"/>
    <w:p w14:paraId="7991EA75" w14:textId="77777777" w:rsidR="00A554BD" w:rsidRDefault="00A554BD" w:rsidP="00A554BD">
      <w:r>
        <w:t>Our view is that the lack of systematic direction has been responsible for some of the drift in our health and safety system and perhaps indirectly the plateauing of our progress in relation to fatalities and serious injuries.</w:t>
      </w:r>
    </w:p>
    <w:p w14:paraId="470AB003" w14:textId="77777777" w:rsidR="00054B40" w:rsidRDefault="00054B40" w:rsidP="00A554BD"/>
    <w:p w14:paraId="6DDC88C1" w14:textId="4FA9403F" w:rsidR="00A554BD" w:rsidRPr="00054B40" w:rsidRDefault="00054B40" w:rsidP="00054B40">
      <w:pPr>
        <w:pStyle w:val="Heading2"/>
        <w:rPr>
          <w:b/>
          <w:bCs/>
        </w:rPr>
      </w:pPr>
      <w:bookmarkStart w:id="33" w:name="_Toc177397987"/>
      <w:r w:rsidRPr="00054B40">
        <w:rPr>
          <w:b/>
          <w:bCs/>
        </w:rPr>
        <w:t>The need for a refreshed strategy</w:t>
      </w:r>
      <w:bookmarkEnd w:id="33"/>
    </w:p>
    <w:p w14:paraId="407756DD" w14:textId="77777777" w:rsidR="00A554BD" w:rsidRDefault="00A554BD" w:rsidP="00A554BD">
      <w:r w:rsidRPr="002B08D1">
        <w:rPr>
          <w:u w:val="single"/>
        </w:rPr>
        <w:t>We recommend that a targeted review of the Health and Safety Strategy is undertaken</w:t>
      </w:r>
      <w:r>
        <w:t xml:space="preserve"> (we are agnostic as to whether a full new strategy is required or a commitment to implementation of the previous one is sufficient).  This should include a significant “lessons learned” component about the failure to launch of the previous strategy.</w:t>
      </w:r>
    </w:p>
    <w:p w14:paraId="3D4C34C7" w14:textId="77777777" w:rsidR="00A554BD" w:rsidRDefault="00A554BD" w:rsidP="00A554BD">
      <w:pPr>
        <w:rPr>
          <w:b/>
          <w:bCs/>
        </w:rPr>
      </w:pPr>
    </w:p>
    <w:p w14:paraId="2F917DA0" w14:textId="77777777" w:rsidR="00A554BD" w:rsidRDefault="00A554BD" w:rsidP="00A554BD">
      <w:r w:rsidRPr="002B08D1">
        <w:rPr>
          <w:u w:val="single"/>
        </w:rPr>
        <w:t>A major focus of a refreshed Strategy needs to be implementation of action plans to address major risks and opportunities.</w:t>
      </w:r>
      <w:r>
        <w:rPr>
          <w:b/>
          <w:bCs/>
        </w:rPr>
        <w:t xml:space="preserve">  </w:t>
      </w:r>
      <w:r>
        <w:t>The implementation of the actions should not sit solely with Government (in many cases, businesses, unions or NGOs will be better placed to deliver) but resourcing is likely to be a key question.</w:t>
      </w:r>
    </w:p>
    <w:p w14:paraId="7B8D39F7" w14:textId="77777777" w:rsidR="00A554BD" w:rsidRDefault="00A554BD" w:rsidP="00A554BD"/>
    <w:p w14:paraId="73F5A693" w14:textId="77777777" w:rsidR="00A554BD" w:rsidRDefault="00A554BD" w:rsidP="00A554BD">
      <w:r>
        <w:t xml:space="preserve">We can look to Australia for lessons on the more successful implementation of their first </w:t>
      </w:r>
      <w:hyperlink r:id="rId20" w:history="1">
        <w:r w:rsidRPr="008E254C">
          <w:rPr>
            <w:rStyle w:val="Hyperlink"/>
          </w:rPr>
          <w:t>Health and Safety Strategy 2012-22</w:t>
        </w:r>
      </w:hyperlink>
      <w:r>
        <w:t xml:space="preserve"> and their recent </w:t>
      </w:r>
      <w:hyperlink r:id="rId21" w:history="1">
        <w:r w:rsidRPr="008E254C">
          <w:rPr>
            <w:rStyle w:val="Hyperlink"/>
          </w:rPr>
          <w:t>Health and Safety Strategy 2023-2033</w:t>
        </w:r>
      </w:hyperlink>
      <w:r>
        <w:t>.  The Australian Strategies set out clear and measurable targets, priority industries and are supported by data and measurement.</w:t>
      </w:r>
    </w:p>
    <w:p w14:paraId="32043A2F" w14:textId="77777777" w:rsidR="00A554BD" w:rsidRDefault="00A554BD" w:rsidP="00A554BD"/>
    <w:p w14:paraId="6738DC63" w14:textId="77777777" w:rsidR="00A554BD" w:rsidRDefault="00A554BD" w:rsidP="00A554BD">
      <w:r w:rsidRPr="00E46C7A">
        <w:rPr>
          <w:u w:val="single"/>
        </w:rPr>
        <w:lastRenderedPageBreak/>
        <w:t>We recommend that officials (and perhaps key stakeholders) are tasked to engage with the Australian regulators to understand lessons learned and success factors for the Australian strategy</w:t>
      </w:r>
      <w:r>
        <w:t>.</w:t>
      </w:r>
    </w:p>
    <w:p w14:paraId="00893CF2" w14:textId="77777777" w:rsidR="00054B40" w:rsidRDefault="00054B40" w:rsidP="00A554BD"/>
    <w:p w14:paraId="0B6BAE77" w14:textId="4816471F" w:rsidR="00A554BD" w:rsidRPr="00054B40" w:rsidRDefault="00054B40" w:rsidP="00054B40">
      <w:pPr>
        <w:pStyle w:val="Heading2"/>
        <w:rPr>
          <w:b/>
          <w:bCs/>
        </w:rPr>
      </w:pPr>
      <w:bookmarkStart w:id="34" w:name="_Toc177397988"/>
      <w:r w:rsidRPr="00054B40">
        <w:rPr>
          <w:b/>
          <w:bCs/>
        </w:rPr>
        <w:t>Independent advice to Ministers</w:t>
      </w:r>
      <w:bookmarkEnd w:id="34"/>
    </w:p>
    <w:p w14:paraId="3D10BF4E" w14:textId="77777777" w:rsidR="00A554BD" w:rsidRDefault="00A554BD" w:rsidP="00A554BD">
      <w:r>
        <w:t>The problems of agency fragmentation, priorities, funding and incentives mean that no one agency (of MBIE, ACC, WorkSafe and the other designated regulators) is well-suited to lead this work alone.  This is a case of institutional incentives not a criticism of individual public servants.</w:t>
      </w:r>
    </w:p>
    <w:p w14:paraId="4687F664" w14:textId="77777777" w:rsidR="00A554BD" w:rsidRDefault="00A554BD" w:rsidP="00A554BD"/>
    <w:p w14:paraId="6904391C" w14:textId="7CEE1C82" w:rsidR="00A554BD" w:rsidRDefault="00A554BD" w:rsidP="00A554BD">
      <w:r w:rsidRPr="00302FD2">
        <w:rPr>
          <w:u w:val="single"/>
        </w:rPr>
        <w:t xml:space="preserve">We recommend that the refreshed strategy </w:t>
      </w:r>
      <w:r w:rsidR="004E574F">
        <w:rPr>
          <w:u w:val="single"/>
        </w:rPr>
        <w:t xml:space="preserve">should be </w:t>
      </w:r>
      <w:r w:rsidRPr="00302FD2">
        <w:rPr>
          <w:u w:val="single"/>
        </w:rPr>
        <w:t xml:space="preserve">developed </w:t>
      </w:r>
      <w:r w:rsidR="004E574F">
        <w:rPr>
          <w:u w:val="single"/>
        </w:rPr>
        <w:t xml:space="preserve">and monitored </w:t>
      </w:r>
      <w:r w:rsidRPr="00302FD2">
        <w:rPr>
          <w:u w:val="single"/>
        </w:rPr>
        <w:t>by an independent Ministerial Advisory Group.</w:t>
      </w:r>
      <w:r>
        <w:t xml:space="preserve">  This will give Ministers the confidence of independent advice on key health and safety matters (freer from institutional capture by Government agencies) and will incentive action from non-Governmental agencies</w:t>
      </w:r>
      <w:r w:rsidR="004D27F0">
        <w:t>.</w:t>
      </w:r>
    </w:p>
    <w:p w14:paraId="620FDEC1" w14:textId="77777777" w:rsidR="00A554BD" w:rsidRDefault="00A554BD" w:rsidP="00A554BD"/>
    <w:p w14:paraId="15E18E6C" w14:textId="77777777" w:rsidR="00A554BD" w:rsidRDefault="00A554BD" w:rsidP="00A554BD">
      <w:r>
        <w:t xml:space="preserve">Various models could be explored for the Ministerial Advisory Group.  Officials provided advice to the former Minister for Workplace Relations and Safety on a Health and Safety Action Leadership Council. Various parties have been involved in </w:t>
      </w:r>
      <w:hyperlink r:id="rId22">
        <w:r w:rsidRPr="54A8F7B6">
          <w:rPr>
            <w:rStyle w:val="Hyperlink"/>
          </w:rPr>
          <w:t xml:space="preserve">FutureSafe Aotearoa. </w:t>
        </w:r>
      </w:hyperlink>
      <w:r>
        <w:t xml:space="preserve"> </w:t>
      </w:r>
    </w:p>
    <w:p w14:paraId="092185D4" w14:textId="77777777" w:rsidR="00A554BD" w:rsidRDefault="00A554BD" w:rsidP="00A554BD"/>
    <w:p w14:paraId="6617B928" w14:textId="77777777" w:rsidR="00A554BD" w:rsidRDefault="00A554BD" w:rsidP="00A554BD">
      <w:r w:rsidRPr="007F5C2A">
        <w:rPr>
          <w:rFonts w:eastAsiaTheme="minorEastAsia"/>
          <w:color w:val="202020"/>
          <w:u w:val="single"/>
        </w:rPr>
        <w:t>We encourage officials to investigate the Ministerial Work Health and Safety Board</w:t>
      </w:r>
      <w:r w:rsidRPr="007F5C2A">
        <w:rPr>
          <w:rFonts w:eastAsiaTheme="minorEastAsia"/>
          <w:b/>
          <w:bCs/>
          <w:color w:val="202020"/>
          <w:u w:val="single"/>
        </w:rPr>
        <w:t xml:space="preserve"> </w:t>
      </w:r>
      <w:r w:rsidRPr="007F5C2A">
        <w:rPr>
          <w:rFonts w:eastAsiaTheme="minorEastAsia"/>
          <w:color w:val="202020"/>
          <w:u w:val="single"/>
        </w:rPr>
        <w:t>model in Queensland</w:t>
      </w:r>
      <w:r w:rsidRPr="007F5C2A">
        <w:rPr>
          <w:rFonts w:eastAsiaTheme="minorEastAsia"/>
          <w:b/>
          <w:bCs/>
          <w:color w:val="202020"/>
          <w:u w:val="single"/>
        </w:rPr>
        <w:t>.</w:t>
      </w:r>
      <w:r>
        <w:rPr>
          <w:rFonts w:eastAsiaTheme="minorEastAsia"/>
          <w:b/>
          <w:bCs/>
          <w:color w:val="202020"/>
        </w:rPr>
        <w:t xml:space="preserve">  </w:t>
      </w:r>
      <w:r w:rsidRPr="007F5C2A">
        <w:rPr>
          <w:rFonts w:eastAsiaTheme="minorEastAsia"/>
          <w:color w:val="202020"/>
        </w:rPr>
        <w:t xml:space="preserve">The Work Health and Safety Board </w:t>
      </w:r>
      <w:r>
        <w:rPr>
          <w:rFonts w:eastAsiaTheme="minorEastAsia"/>
          <w:color w:val="202020"/>
        </w:rPr>
        <w:t xml:space="preserve">is Ministerially appointed and </w:t>
      </w:r>
      <w:r w:rsidRPr="007F5C2A">
        <w:rPr>
          <w:rFonts w:eastAsiaTheme="minorEastAsia"/>
          <w:color w:val="202020"/>
        </w:rPr>
        <w:t>acts</w:t>
      </w:r>
      <w:r>
        <w:rPr>
          <w:rFonts w:eastAsiaTheme="minorEastAsia"/>
          <w:b/>
          <w:bCs/>
          <w:color w:val="202020"/>
        </w:rPr>
        <w:t xml:space="preserve"> </w:t>
      </w:r>
      <w:r w:rsidRPr="00A30E64">
        <w:rPr>
          <w:rFonts w:eastAsiaTheme="minorEastAsia"/>
          <w:color w:val="202020"/>
        </w:rPr>
        <w:t>the peak advisory body to the Queensland Government on work health and safety matters. The primary function is to give advice and make recommendations to the Minister about policies, strategies, allocation of resources and legislative arrangements for work health and safety.</w:t>
      </w:r>
    </w:p>
    <w:p w14:paraId="372714A4" w14:textId="77777777" w:rsidR="00A554BD" w:rsidRPr="00A30E64" w:rsidRDefault="00A554BD" w:rsidP="00A554BD"/>
    <w:p w14:paraId="714F9AA3" w14:textId="77777777" w:rsidR="00A554BD" w:rsidRDefault="00A554BD" w:rsidP="00A554BD">
      <w:pPr>
        <w:rPr>
          <w:rFonts w:eastAsiaTheme="minorEastAsia"/>
          <w:color w:val="202020"/>
        </w:rPr>
      </w:pPr>
      <w:r w:rsidRPr="000A76A4">
        <w:rPr>
          <w:rFonts w:eastAsiaTheme="minorEastAsia"/>
          <w:color w:val="202020"/>
        </w:rPr>
        <w:t>The Work Health and Safety Board consults with employers, workers and their representative organisations, as well as the work health and safety community to get industry feedback. Members include social partners and independent experts</w:t>
      </w:r>
      <w:r>
        <w:rPr>
          <w:rFonts w:eastAsiaTheme="minorEastAsia"/>
          <w:color w:val="202020"/>
        </w:rPr>
        <w:t xml:space="preserve"> supported by a consultative committee whose members have either suffered serious injury or bereavement as a result of a workplace accident.</w:t>
      </w:r>
    </w:p>
    <w:p w14:paraId="15EC4EDC" w14:textId="77777777" w:rsidR="00A554BD" w:rsidRDefault="00A554BD" w:rsidP="00A554BD"/>
    <w:p w14:paraId="259A1A20" w14:textId="77777777" w:rsidR="00A554BD" w:rsidRPr="00302FD2" w:rsidRDefault="00A554BD" w:rsidP="00A554BD">
      <w:pPr>
        <w:rPr>
          <w:u w:val="single"/>
        </w:rPr>
      </w:pPr>
      <w:r w:rsidRPr="00302FD2">
        <w:rPr>
          <w:u w:val="single"/>
        </w:rPr>
        <w:t>We recommend that the Ministerial Advisory group should include representatives of:</w:t>
      </w:r>
    </w:p>
    <w:p w14:paraId="23E90D0D" w14:textId="77777777" w:rsidR="00A554BD" w:rsidRPr="00302FD2" w:rsidRDefault="00A554BD" w:rsidP="00A554BD">
      <w:pPr>
        <w:pStyle w:val="ListParagraph"/>
        <w:numPr>
          <w:ilvl w:val="0"/>
          <w:numId w:val="35"/>
        </w:numPr>
        <w:rPr>
          <w:u w:val="single"/>
        </w:rPr>
      </w:pPr>
      <w:r w:rsidRPr="00302FD2">
        <w:rPr>
          <w:u w:val="single"/>
        </w:rPr>
        <w:t>Employers and workers</w:t>
      </w:r>
    </w:p>
    <w:p w14:paraId="3EA673E1" w14:textId="77777777" w:rsidR="00A554BD" w:rsidRPr="00302FD2" w:rsidRDefault="00A554BD" w:rsidP="00A554BD">
      <w:pPr>
        <w:pStyle w:val="ListParagraph"/>
        <w:numPr>
          <w:ilvl w:val="0"/>
          <w:numId w:val="35"/>
        </w:numPr>
        <w:rPr>
          <w:u w:val="single"/>
        </w:rPr>
      </w:pPr>
      <w:r w:rsidRPr="00302FD2">
        <w:rPr>
          <w:u w:val="single"/>
        </w:rPr>
        <w:t>Health and safety experts (including practitioners and academics)</w:t>
      </w:r>
    </w:p>
    <w:p w14:paraId="12B85582" w14:textId="77777777" w:rsidR="00A554BD" w:rsidRDefault="00A554BD" w:rsidP="00A554BD">
      <w:pPr>
        <w:pStyle w:val="ListParagraph"/>
        <w:numPr>
          <w:ilvl w:val="0"/>
          <w:numId w:val="35"/>
        </w:numPr>
        <w:rPr>
          <w:u w:val="single"/>
        </w:rPr>
      </w:pPr>
      <w:r w:rsidRPr="00302FD2">
        <w:rPr>
          <w:u w:val="single"/>
        </w:rPr>
        <w:t>Iwi.</w:t>
      </w:r>
    </w:p>
    <w:p w14:paraId="3A961D0F" w14:textId="77777777" w:rsidR="00540DC9" w:rsidRPr="00302FD2" w:rsidRDefault="00540DC9" w:rsidP="00540DC9">
      <w:pPr>
        <w:pStyle w:val="ListParagraph"/>
        <w:rPr>
          <w:u w:val="single"/>
        </w:rPr>
      </w:pPr>
    </w:p>
    <w:p w14:paraId="44B51CBD" w14:textId="7DEB1E49" w:rsidR="00A554BD" w:rsidRPr="00302FD2" w:rsidRDefault="00A554BD" w:rsidP="00A554BD">
      <w:pPr>
        <w:rPr>
          <w:u w:val="single"/>
        </w:rPr>
      </w:pPr>
      <w:r>
        <w:rPr>
          <w:u w:val="single"/>
        </w:rPr>
        <w:t xml:space="preserve">It may be useful to consider the role of victims (per the Queensland model). </w:t>
      </w:r>
      <w:r w:rsidRPr="00302FD2">
        <w:rPr>
          <w:u w:val="single"/>
        </w:rPr>
        <w:t xml:space="preserve">The role of Government agencies should be carefully thought through.  It may be more appropriate for Government agencies to act as a secretariat </w:t>
      </w:r>
      <w:r w:rsidR="00703F6D">
        <w:rPr>
          <w:u w:val="single"/>
        </w:rPr>
        <w:t xml:space="preserve">rather </w:t>
      </w:r>
      <w:r w:rsidRPr="00302FD2">
        <w:rPr>
          <w:u w:val="single"/>
        </w:rPr>
        <w:t>than full voting members.</w:t>
      </w:r>
    </w:p>
    <w:p w14:paraId="731C678F" w14:textId="77777777" w:rsidR="00A554BD" w:rsidRDefault="00A554BD" w:rsidP="00A554BD"/>
    <w:p w14:paraId="4135AD79" w14:textId="728951C0" w:rsidR="00A554BD" w:rsidRPr="000742FE" w:rsidRDefault="000742FE" w:rsidP="000742FE">
      <w:pPr>
        <w:pStyle w:val="Heading2"/>
        <w:rPr>
          <w:b/>
          <w:bCs/>
        </w:rPr>
      </w:pPr>
      <w:bookmarkStart w:id="35" w:name="_Toc177397989"/>
      <w:r>
        <w:rPr>
          <w:b/>
          <w:bCs/>
        </w:rPr>
        <w:lastRenderedPageBreak/>
        <w:t>International legal obligations</w:t>
      </w:r>
      <w:bookmarkEnd w:id="35"/>
    </w:p>
    <w:p w14:paraId="434CCEBA" w14:textId="77777777" w:rsidR="00A554BD" w:rsidRDefault="00A554BD" w:rsidP="00A554BD">
      <w:r>
        <w:t>The creation of an effective Health and Safety at Work Strategy is consistent with New Zealand’s obligations under International Labour Organisation Convention 187 on Promotion Framework for Occupational Health, 2006.  This convention has recently been added to the fundamental conventions that all States agree to comply with as part of ILO membership.</w:t>
      </w:r>
    </w:p>
    <w:p w14:paraId="74A39241" w14:textId="77777777" w:rsidR="00A554BD" w:rsidRDefault="00A554BD" w:rsidP="00A554BD">
      <w:r>
        <w:br/>
        <w:t>Article 5 of C187 states that:</w:t>
      </w:r>
    </w:p>
    <w:p w14:paraId="422EBBE7" w14:textId="77777777" w:rsidR="00A554BD" w:rsidRPr="006005F5" w:rsidRDefault="00A554BD" w:rsidP="00A554BD">
      <w:pPr>
        <w:ind w:left="720"/>
        <w:rPr>
          <w:i/>
          <w:iCs/>
          <w:lang w:val="en-US"/>
        </w:rPr>
      </w:pPr>
      <w:bookmarkStart w:id="36" w:name="A5P1"/>
      <w:bookmarkEnd w:id="36"/>
      <w:r w:rsidRPr="006005F5">
        <w:rPr>
          <w:i/>
          <w:iCs/>
          <w:lang w:val="en-US"/>
        </w:rPr>
        <w:t>1. Each Member shall formulate, implement, monitor, evaluate and periodically review a national programme on occupational safety and health in consultation with the most representative organizations of employers and workers.</w:t>
      </w:r>
    </w:p>
    <w:p w14:paraId="15EB632A" w14:textId="77777777" w:rsidR="00A554BD" w:rsidRPr="006005F5" w:rsidRDefault="00A554BD" w:rsidP="00A554BD">
      <w:pPr>
        <w:ind w:firstLine="720"/>
        <w:rPr>
          <w:i/>
          <w:iCs/>
          <w:lang w:val="en-US"/>
        </w:rPr>
      </w:pPr>
      <w:bookmarkStart w:id="37" w:name="A5P2"/>
      <w:bookmarkEnd w:id="37"/>
      <w:r w:rsidRPr="006005F5">
        <w:rPr>
          <w:i/>
          <w:iCs/>
          <w:lang w:val="en-US"/>
        </w:rPr>
        <w:t>2. The national programme shall:</w:t>
      </w:r>
    </w:p>
    <w:p w14:paraId="0247F85C" w14:textId="77777777" w:rsidR="00A554BD" w:rsidRPr="006005F5" w:rsidRDefault="00A554BD" w:rsidP="00A554BD">
      <w:pPr>
        <w:ind w:left="1080"/>
        <w:rPr>
          <w:i/>
          <w:iCs/>
          <w:lang w:val="en-US"/>
        </w:rPr>
      </w:pPr>
      <w:r w:rsidRPr="006005F5">
        <w:rPr>
          <w:i/>
          <w:iCs/>
          <w:lang w:val="en-US"/>
        </w:rPr>
        <w:t>(a) promote the development of a national preventative safety and health culture;</w:t>
      </w:r>
    </w:p>
    <w:p w14:paraId="1E0F9A72" w14:textId="77777777" w:rsidR="00A554BD" w:rsidRPr="006005F5" w:rsidRDefault="00A554BD" w:rsidP="00A554BD">
      <w:pPr>
        <w:ind w:left="1080"/>
        <w:rPr>
          <w:i/>
          <w:iCs/>
          <w:lang w:val="en-US"/>
        </w:rPr>
      </w:pPr>
      <w:r w:rsidRPr="006005F5">
        <w:rPr>
          <w:i/>
          <w:iCs/>
          <w:lang w:val="en-US"/>
        </w:rPr>
        <w:t>(b) contribute to the protection of workers by eliminating or minimizing, so far as is reasonably practicable, work-related hazards and risks, in accordance with national law and practice, in order to prevent occupational injuries, diseases and deaths and promote safety and health in the workplace;</w:t>
      </w:r>
    </w:p>
    <w:p w14:paraId="57A4C3A8" w14:textId="77777777" w:rsidR="00A554BD" w:rsidRPr="006005F5" w:rsidRDefault="00A554BD" w:rsidP="00A554BD">
      <w:pPr>
        <w:ind w:left="1080"/>
        <w:rPr>
          <w:i/>
          <w:iCs/>
          <w:lang w:val="en-US"/>
        </w:rPr>
      </w:pPr>
      <w:r w:rsidRPr="006005F5">
        <w:rPr>
          <w:i/>
          <w:iCs/>
          <w:lang w:val="en-US"/>
        </w:rPr>
        <w:t>(c) be formulated and reviewed on the basis of analysis of the national situation regarding occupational safety and health, including analysis of the national system for occupational safety and health;</w:t>
      </w:r>
    </w:p>
    <w:p w14:paraId="66F2F65F" w14:textId="77777777" w:rsidR="00A554BD" w:rsidRPr="006005F5" w:rsidRDefault="00A554BD" w:rsidP="00A554BD">
      <w:pPr>
        <w:ind w:left="360" w:firstLine="720"/>
        <w:rPr>
          <w:i/>
          <w:iCs/>
          <w:lang w:val="en-US"/>
        </w:rPr>
      </w:pPr>
      <w:r w:rsidRPr="006005F5">
        <w:rPr>
          <w:i/>
          <w:iCs/>
          <w:lang w:val="en-US"/>
        </w:rPr>
        <w:t>(d) include objectives, targets and indicators of progress; and</w:t>
      </w:r>
    </w:p>
    <w:p w14:paraId="11E27B66" w14:textId="77777777" w:rsidR="00A554BD" w:rsidRPr="006005F5" w:rsidRDefault="00A554BD" w:rsidP="00A554BD">
      <w:pPr>
        <w:ind w:left="1080"/>
        <w:rPr>
          <w:i/>
          <w:iCs/>
          <w:lang w:val="en-US"/>
        </w:rPr>
      </w:pPr>
      <w:r w:rsidRPr="006005F5">
        <w:rPr>
          <w:i/>
          <w:iCs/>
          <w:lang w:val="en-US"/>
        </w:rPr>
        <w:t>(e) be supported, where possible, by other complementary national programmes and plans which will assist in achieving progressively a safe and healthy working environment.</w:t>
      </w:r>
    </w:p>
    <w:p w14:paraId="38A4A636" w14:textId="77777777" w:rsidR="00A554BD" w:rsidRPr="006005F5" w:rsidRDefault="00A554BD" w:rsidP="00A554BD">
      <w:pPr>
        <w:ind w:left="720"/>
        <w:rPr>
          <w:i/>
          <w:iCs/>
          <w:lang w:val="en-US"/>
        </w:rPr>
      </w:pPr>
      <w:bookmarkStart w:id="38" w:name="A5P3"/>
      <w:bookmarkEnd w:id="38"/>
      <w:r w:rsidRPr="006005F5">
        <w:rPr>
          <w:i/>
          <w:iCs/>
          <w:lang w:val="en-US"/>
        </w:rPr>
        <w:t>3. The national programme shall be widely publicized and, to the extent possible, endorsed and launched by the highest national authorities.</w:t>
      </w:r>
    </w:p>
    <w:p w14:paraId="1F893B43" w14:textId="77777777" w:rsidR="00A554BD" w:rsidRPr="00E43BD3" w:rsidRDefault="00A554BD" w:rsidP="00A554BD"/>
    <w:p w14:paraId="6EB3446A" w14:textId="77777777" w:rsidR="00A554BD" w:rsidRPr="00E920C3" w:rsidRDefault="00A554BD" w:rsidP="00A554BD">
      <w:r w:rsidRPr="00E920C3">
        <w:t>Our view is that the current Health and Safety Strategy is only partially compliant with our obligations under C187</w:t>
      </w:r>
      <w:r>
        <w:t>.  There is a lack of monitoring and evaluation, objectives, targets and indicators of progress.</w:t>
      </w:r>
      <w:r w:rsidRPr="00E920C3">
        <w:t xml:space="preserve"> </w:t>
      </w:r>
    </w:p>
    <w:p w14:paraId="6E5496DC" w14:textId="77777777" w:rsidR="00A554BD" w:rsidRDefault="00A554BD" w:rsidP="00A554BD">
      <w:pPr>
        <w:rPr>
          <w:b/>
          <w:bCs/>
        </w:rPr>
      </w:pPr>
    </w:p>
    <w:p w14:paraId="3E2C559B" w14:textId="77777777" w:rsidR="00A554BD" w:rsidRDefault="00A554BD" w:rsidP="00A554BD">
      <w:r>
        <w:t>Lack of compliance with fundamental International Labour Standards is problematic in and of itself.  The New Zealand Government may be called to account by the ILO for failure to meet basic labour standards.</w:t>
      </w:r>
    </w:p>
    <w:p w14:paraId="45DCF380" w14:textId="77777777" w:rsidR="00A554BD" w:rsidRDefault="00A554BD" w:rsidP="00A554BD"/>
    <w:p w14:paraId="0182B3DD" w14:textId="1346500F" w:rsidR="00404893" w:rsidRDefault="00A554BD" w:rsidP="00A554BD">
      <w:r>
        <w:t xml:space="preserve">Breach of these standards may also cause problems for our bilateral Free Trade Agreements.  For example, the New Zealand European Union Free Trade Agreement </w:t>
      </w:r>
      <w:hyperlink r:id="rId23" w:history="1">
        <w:r w:rsidRPr="004F639C">
          <w:rPr>
            <w:rStyle w:val="Hyperlink"/>
          </w:rPr>
          <w:t>Chapter 17 on Trade and Sustainable Development</w:t>
        </w:r>
      </w:hyperlink>
      <w:r>
        <w:t xml:space="preserve"> contains commitments to “respect, promote and realise the principles concerning the fundamental rights at work which are </w:t>
      </w:r>
      <w:r>
        <w:lastRenderedPageBreak/>
        <w:t>the subject of the fundamental conventions of the ILO”</w:t>
      </w:r>
      <w:r>
        <w:rPr>
          <w:rStyle w:val="FootnoteReference"/>
        </w:rPr>
        <w:footnoteReference w:id="12"/>
      </w:r>
      <w:r>
        <w:t xml:space="preserve"> (art 19(3)(3)) and to “make continued and sustained efforts to ratify the fundamental conventions of the ILO if they have not yet done so (art 19(3)(5)).</w:t>
      </w:r>
    </w:p>
    <w:p w14:paraId="0AC7351E" w14:textId="77777777" w:rsidR="00A554BD" w:rsidRDefault="00A554BD" w:rsidP="06097C81">
      <w:pPr>
        <w:spacing w:line="259" w:lineRule="auto"/>
      </w:pPr>
    </w:p>
    <w:sectPr w:rsidR="00A554BD">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A1CF9" w14:textId="77777777" w:rsidR="00EB1886" w:rsidRDefault="00EB1886" w:rsidP="00733701">
      <w:r>
        <w:separator/>
      </w:r>
    </w:p>
  </w:endnote>
  <w:endnote w:type="continuationSeparator" w:id="0">
    <w:p w14:paraId="4BB4977E" w14:textId="77777777" w:rsidR="00EB1886" w:rsidRDefault="00EB1886" w:rsidP="00733701">
      <w:r>
        <w:continuationSeparator/>
      </w:r>
    </w:p>
  </w:endnote>
  <w:endnote w:type="continuationNotice" w:id="1">
    <w:p w14:paraId="19149250" w14:textId="77777777" w:rsidR="00EB1886" w:rsidRDefault="00EB1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otham">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icrosoft GothicNeo">
    <w:panose1 w:val="020B0500000101010101"/>
    <w:charset w:val="81"/>
    <w:family w:val="swiss"/>
    <w:pitch w:val="variable"/>
    <w:sig w:usb0="800002BF" w:usb1="29D7A47B" w:usb2="00000010" w:usb3="00000000" w:csb0="0029009F" w:csb1="00000000"/>
  </w:font>
  <w:font w:name="Nunito Sans">
    <w:panose1 w:val="020B0604020202020204"/>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18901854"/>
      <w:docPartObj>
        <w:docPartGallery w:val="Page Numbers (Bottom of Page)"/>
        <w:docPartUnique/>
      </w:docPartObj>
    </w:sdtPr>
    <w:sdtContent>
      <w:p w14:paraId="5467D280" w14:textId="51831961" w:rsidR="00733701" w:rsidRDefault="00733701">
        <w:pPr>
          <w:pStyle w:val="Footer"/>
          <w:framePr w:wrap="none" w:vAnchor="text" w:hAnchor="margin" w:xAlign="right" w:y="1"/>
          <w:rPr>
            <w:rStyle w:val="PageNumber"/>
          </w:rPr>
        </w:pPr>
        <w:r w:rsidRPr="06097C81">
          <w:rPr>
            <w:rStyle w:val="PageNumber"/>
          </w:rPr>
          <w:fldChar w:fldCharType="begin"/>
        </w:r>
        <w:r w:rsidRPr="06097C81">
          <w:rPr>
            <w:rStyle w:val="PageNumber"/>
          </w:rPr>
          <w:instrText xml:space="preserve"> PAGE </w:instrText>
        </w:r>
        <w:r w:rsidRPr="06097C81">
          <w:rPr>
            <w:rStyle w:val="PageNumber"/>
          </w:rPr>
          <w:fldChar w:fldCharType="end"/>
        </w:r>
      </w:p>
    </w:sdtContent>
  </w:sdt>
  <w:p w14:paraId="60310A5F" w14:textId="77777777" w:rsidR="00733701" w:rsidRDefault="00733701" w:rsidP="007337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4002378"/>
      <w:docPartObj>
        <w:docPartGallery w:val="Page Numbers (Bottom of Page)"/>
        <w:docPartUnique/>
      </w:docPartObj>
    </w:sdtPr>
    <w:sdtContent>
      <w:p w14:paraId="72480FA3" w14:textId="10B12ED4" w:rsidR="00733701" w:rsidRDefault="00733701">
        <w:pPr>
          <w:pStyle w:val="Footer"/>
          <w:framePr w:wrap="none" w:vAnchor="text" w:hAnchor="margin" w:xAlign="right" w:y="1"/>
          <w:rPr>
            <w:rStyle w:val="PageNumber"/>
          </w:rPr>
        </w:pPr>
        <w:r w:rsidRPr="06097C81">
          <w:rPr>
            <w:rStyle w:val="PageNumber"/>
          </w:rPr>
          <w:fldChar w:fldCharType="begin"/>
        </w:r>
        <w:r w:rsidRPr="06097C81">
          <w:rPr>
            <w:rStyle w:val="PageNumber"/>
          </w:rPr>
          <w:instrText xml:space="preserve"> PAGE </w:instrText>
        </w:r>
        <w:r w:rsidRPr="06097C81">
          <w:rPr>
            <w:rStyle w:val="PageNumber"/>
          </w:rPr>
          <w:fldChar w:fldCharType="separate"/>
        </w:r>
        <w:r w:rsidR="06097C81" w:rsidRPr="06097C81">
          <w:rPr>
            <w:rStyle w:val="PageNumber"/>
          </w:rPr>
          <w:t>1</w:t>
        </w:r>
        <w:r w:rsidRPr="06097C81">
          <w:rPr>
            <w:rStyle w:val="PageNumber"/>
          </w:rPr>
          <w:fldChar w:fldCharType="end"/>
        </w:r>
      </w:p>
    </w:sdtContent>
  </w:sdt>
  <w:p w14:paraId="7537A1D3" w14:textId="77777777" w:rsidR="00733701" w:rsidRDefault="00733701" w:rsidP="007337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11C77" w14:textId="77777777" w:rsidR="001C4D6E" w:rsidRDefault="001C4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60465" w14:textId="77777777" w:rsidR="00EB1886" w:rsidRDefault="00EB1886" w:rsidP="00733701">
      <w:r>
        <w:separator/>
      </w:r>
    </w:p>
  </w:footnote>
  <w:footnote w:type="continuationSeparator" w:id="0">
    <w:p w14:paraId="266283D6" w14:textId="77777777" w:rsidR="00EB1886" w:rsidRDefault="00EB1886" w:rsidP="00733701">
      <w:r>
        <w:continuationSeparator/>
      </w:r>
    </w:p>
  </w:footnote>
  <w:footnote w:type="continuationNotice" w:id="1">
    <w:p w14:paraId="3BC61515" w14:textId="77777777" w:rsidR="00EB1886" w:rsidRDefault="00EB1886"/>
  </w:footnote>
  <w:footnote w:id="2">
    <w:p w14:paraId="60AF23F7" w14:textId="671F95F1" w:rsidR="00394A75" w:rsidRPr="00394A75" w:rsidRDefault="00394A75">
      <w:pPr>
        <w:pStyle w:val="FootnoteText"/>
        <w:rPr>
          <w:lang w:val="en-US"/>
        </w:rPr>
      </w:pPr>
      <w:r>
        <w:rPr>
          <w:rStyle w:val="FootnoteReference"/>
        </w:rPr>
        <w:footnoteRef/>
      </w:r>
      <w:r>
        <w:t xml:space="preserve"> </w:t>
      </w:r>
      <w:r>
        <w:rPr>
          <w:lang w:val="en-US"/>
        </w:rPr>
        <w:t xml:space="preserve">That is not to say that other laws may not have a significant part to play.  The Independent Taskforce on Workplace Health and Safety along with many others have </w:t>
      </w:r>
      <w:r w:rsidR="004E6C1A">
        <w:rPr>
          <w:lang w:val="en-US"/>
        </w:rPr>
        <w:t xml:space="preserve">identified the no-fault nature of the Accident Compensation Scheme and the Accident Compensation Act’s </w:t>
      </w:r>
      <w:r w:rsidR="00AD0DB3">
        <w:rPr>
          <w:lang w:val="en-US"/>
        </w:rPr>
        <w:t xml:space="preserve">bar on litigation for personal injury except in cases of gross negligence as potentially significant </w:t>
      </w:r>
      <w:r w:rsidR="006C59D6">
        <w:rPr>
          <w:lang w:val="en-US"/>
        </w:rPr>
        <w:t>factors in New Zealand’s “risk tolerant” culture.</w:t>
      </w:r>
    </w:p>
  </w:footnote>
  <w:footnote w:id="3">
    <w:p w14:paraId="6FF0E2B6" w14:textId="1E2E4A47" w:rsidR="008A5E45" w:rsidRPr="008A5E45" w:rsidRDefault="008A5E45">
      <w:pPr>
        <w:pStyle w:val="FootnoteText"/>
        <w:rPr>
          <w:lang w:val="en-US"/>
        </w:rPr>
      </w:pPr>
      <w:r>
        <w:rPr>
          <w:rStyle w:val="FootnoteReference"/>
        </w:rPr>
        <w:footnoteRef/>
      </w:r>
      <w:r>
        <w:t xml:space="preserve"> </w:t>
      </w:r>
      <w:r>
        <w:rPr>
          <w:lang w:val="en-US"/>
        </w:rPr>
        <w:t xml:space="preserve">For a useful discussion of relevant sentencing levels in New Zealand, Australia and the UK see </w:t>
      </w:r>
      <w:r w:rsidR="00F05F3D" w:rsidRPr="00F05F3D">
        <w:t>Lill, J. (2024). Comparing Health and safety sentencing in NZ and abroad . </w:t>
      </w:r>
      <w:r w:rsidR="00F05F3D" w:rsidRPr="00F05F3D">
        <w:rPr>
          <w:i/>
          <w:iCs/>
        </w:rPr>
        <w:t>New Zealand Journal of Health and Safety Practice</w:t>
      </w:r>
      <w:r w:rsidR="00F05F3D" w:rsidRPr="00F05F3D">
        <w:t>, </w:t>
      </w:r>
      <w:r w:rsidR="00F05F3D" w:rsidRPr="00F05F3D">
        <w:rPr>
          <w:i/>
          <w:iCs/>
        </w:rPr>
        <w:t>1</w:t>
      </w:r>
      <w:r w:rsidR="00F05F3D" w:rsidRPr="00F05F3D">
        <w:t xml:space="preserve">(2). </w:t>
      </w:r>
      <w:hyperlink r:id="rId1" w:history="1">
        <w:r w:rsidR="00F05F3D" w:rsidRPr="001F4912">
          <w:rPr>
            <w:rStyle w:val="Hyperlink"/>
          </w:rPr>
          <w:t>https://doi.org/10.26686/nzjhsp.v1i2.9476</w:t>
        </w:r>
      </w:hyperlink>
      <w:r w:rsidR="00F05F3D">
        <w:t xml:space="preserve"> </w:t>
      </w:r>
    </w:p>
  </w:footnote>
  <w:footnote w:id="4">
    <w:p w14:paraId="795AD110" w14:textId="77777777" w:rsidR="007124C8" w:rsidRPr="003F3CD5" w:rsidRDefault="007124C8" w:rsidP="007124C8">
      <w:pPr>
        <w:pStyle w:val="FootnoteText"/>
        <w:rPr>
          <w:lang w:val="en-US"/>
        </w:rPr>
      </w:pPr>
      <w:r>
        <w:rPr>
          <w:rStyle w:val="FootnoteReference"/>
        </w:rPr>
        <w:footnoteRef/>
      </w:r>
      <w:r>
        <w:t xml:space="preserve"> </w:t>
      </w:r>
      <w:r w:rsidRPr="003F3CD5">
        <w:t>Nicholson, G., &amp; Wray, E. (2024). Crime and Punishment: Is the existing offence for reckless breaches of health and safety duties working, or does New Zealand need something new?. </w:t>
      </w:r>
      <w:r w:rsidRPr="003F3CD5">
        <w:rPr>
          <w:i/>
          <w:iCs/>
        </w:rPr>
        <w:t>New Zealand Journal of Health and Safety Practice</w:t>
      </w:r>
      <w:r w:rsidRPr="003F3CD5">
        <w:t>, </w:t>
      </w:r>
      <w:r w:rsidRPr="003F3CD5">
        <w:rPr>
          <w:i/>
          <w:iCs/>
        </w:rPr>
        <w:t>1</w:t>
      </w:r>
      <w:r w:rsidRPr="003F3CD5">
        <w:t>(2). https://doi.org/10.26686/nzjhsp.v1i2.9544</w:t>
      </w:r>
    </w:p>
  </w:footnote>
  <w:footnote w:id="5">
    <w:p w14:paraId="5654C147" w14:textId="6486C972" w:rsidR="007124C8" w:rsidRDefault="007124C8" w:rsidP="007124C8">
      <w:pPr>
        <w:spacing w:line="259" w:lineRule="auto"/>
        <w:rPr>
          <w:rFonts w:ascii="Aptos" w:eastAsia="Aptos" w:hAnsi="Aptos" w:cs="Aptos"/>
          <w:sz w:val="22"/>
          <w:szCs w:val="22"/>
        </w:rPr>
      </w:pPr>
      <w:r>
        <w:rPr>
          <w:rStyle w:val="FootnoteReference"/>
        </w:rPr>
        <w:footnoteRef/>
      </w:r>
      <w:r>
        <w:t xml:space="preserve"> </w:t>
      </w:r>
      <w:r>
        <w:rPr>
          <w:lang w:val="en-US"/>
        </w:rPr>
        <w:t xml:space="preserve"> </w:t>
      </w:r>
      <w:r w:rsidRPr="00D163CB">
        <w:rPr>
          <w:rFonts w:ascii="Aptos" w:eastAsia="Aptos" w:hAnsi="Aptos" w:cs="Aptos"/>
          <w:i/>
          <w:iCs/>
          <w:sz w:val="20"/>
          <w:szCs w:val="20"/>
        </w:rPr>
        <w:t>WorkSafe New Zealand v Waste Management NZ Limited</w:t>
      </w:r>
      <w:r w:rsidRPr="00D163CB">
        <w:rPr>
          <w:rStyle w:val="FootnoteReference"/>
          <w:rFonts w:ascii="Aptos" w:eastAsia="Aptos" w:hAnsi="Aptos" w:cs="Aptos"/>
          <w:i/>
          <w:iCs/>
          <w:sz w:val="20"/>
          <w:szCs w:val="20"/>
        </w:rPr>
        <w:footnoteRef/>
      </w:r>
      <w:r w:rsidRPr="00D163CB">
        <w:rPr>
          <w:rFonts w:ascii="Aptos" w:eastAsia="Aptos" w:hAnsi="Aptos" w:cs="Aptos"/>
          <w:sz w:val="20"/>
          <w:szCs w:val="20"/>
        </w:rPr>
        <w:t>[2021] NZDC 12388</w:t>
      </w:r>
      <w:r w:rsidR="00D163CB" w:rsidRPr="00D163CB">
        <w:rPr>
          <w:rFonts w:ascii="Aptos" w:eastAsia="Aptos" w:hAnsi="Aptos" w:cs="Aptos"/>
          <w:sz w:val="20"/>
          <w:szCs w:val="20"/>
        </w:rPr>
        <w:t xml:space="preserve">; </w:t>
      </w:r>
      <w:r w:rsidR="00D163CB" w:rsidRPr="00D163CB">
        <w:rPr>
          <w:rFonts w:ascii="Aptos" w:eastAsia="Aptos" w:hAnsi="Aptos" w:cs="Aptos"/>
          <w:i/>
          <w:iCs/>
          <w:sz w:val="20"/>
          <w:szCs w:val="20"/>
        </w:rPr>
        <w:t xml:space="preserve">WorkSafe v Waste Management NZ Limited </w:t>
      </w:r>
      <w:r w:rsidR="00D163CB" w:rsidRPr="00D163CB">
        <w:rPr>
          <w:rFonts w:ascii="Aptos" w:eastAsia="Aptos" w:hAnsi="Aptos" w:cs="Aptos"/>
          <w:sz w:val="20"/>
          <w:szCs w:val="20"/>
        </w:rPr>
        <w:t>[2021] NZHC 3444</w:t>
      </w:r>
    </w:p>
    <w:p w14:paraId="1C70DA8F" w14:textId="0C87A799" w:rsidR="007124C8" w:rsidRPr="007124C8" w:rsidRDefault="007124C8">
      <w:pPr>
        <w:pStyle w:val="FootnoteText"/>
        <w:rPr>
          <w:lang w:val="en-US"/>
        </w:rPr>
      </w:pPr>
    </w:p>
  </w:footnote>
  <w:footnote w:id="6">
    <w:p w14:paraId="3F8656D2" w14:textId="77777777" w:rsidR="00444452" w:rsidRPr="0017506B" w:rsidRDefault="00444452" w:rsidP="00444452">
      <w:pPr>
        <w:pStyle w:val="FootnoteText"/>
        <w:rPr>
          <w:lang w:val="en-US"/>
        </w:rPr>
      </w:pPr>
      <w:r>
        <w:rPr>
          <w:rStyle w:val="FootnoteReference"/>
        </w:rPr>
        <w:footnoteRef/>
      </w:r>
      <w:r>
        <w:t xml:space="preserve"> </w:t>
      </w:r>
      <w:r>
        <w:rPr>
          <w:lang w:val="en-US"/>
        </w:rPr>
        <w:t xml:space="preserve">For an example of use regulations see the UK’s </w:t>
      </w:r>
      <w:r w:rsidRPr="004D5059">
        <w:t>Control of Substances Hazardous to Health (COSHH) Regulations 2002</w:t>
      </w:r>
      <w:r>
        <w:t>.</w:t>
      </w:r>
    </w:p>
  </w:footnote>
  <w:footnote w:id="7">
    <w:p w14:paraId="1FBD947A" w14:textId="77777777" w:rsidR="00444452" w:rsidRPr="00AB79CD" w:rsidRDefault="00444452" w:rsidP="00444452">
      <w:pPr>
        <w:pStyle w:val="FootnoteText"/>
        <w:rPr>
          <w:rFonts w:ascii="Aptos" w:hAnsi="Aptos"/>
          <w:lang w:val="en-US"/>
        </w:rPr>
      </w:pPr>
      <w:r w:rsidRPr="00F6286D">
        <w:rPr>
          <w:rStyle w:val="FootnoteReference"/>
          <w:rFonts w:ascii="Aptos" w:hAnsi="Aptos"/>
        </w:rPr>
        <w:footnoteRef/>
      </w:r>
      <w:r w:rsidRPr="00F6286D">
        <w:rPr>
          <w:rFonts w:ascii="Aptos" w:hAnsi="Aptos"/>
        </w:rPr>
        <w:t xml:space="preserve"> </w:t>
      </w:r>
      <w:r w:rsidRPr="00F6286D">
        <w:rPr>
          <w:rFonts w:ascii="Aptos" w:hAnsi="Aptos"/>
          <w:lang w:val="en-US"/>
        </w:rPr>
        <w:t>The Australian Health and Safety Strategy 2012-2022 (referenced above) identified the following priority industries: agriculture,</w:t>
      </w:r>
      <w:r w:rsidRPr="00AB79CD">
        <w:rPr>
          <w:rFonts w:ascii="Aptos" w:hAnsi="Aptos"/>
          <w:lang w:val="en-US"/>
        </w:rPr>
        <w:t> manufacturing</w:t>
      </w:r>
      <w:r w:rsidRPr="00F6286D">
        <w:rPr>
          <w:rFonts w:ascii="Aptos" w:hAnsi="Aptos"/>
          <w:lang w:val="en-US"/>
        </w:rPr>
        <w:t xml:space="preserve">, </w:t>
      </w:r>
      <w:r w:rsidRPr="00AB79CD">
        <w:rPr>
          <w:rFonts w:ascii="Aptos" w:hAnsi="Aptos"/>
          <w:lang w:val="en-US"/>
        </w:rPr>
        <w:t>construction</w:t>
      </w:r>
      <w:r w:rsidRPr="00F6286D">
        <w:rPr>
          <w:rFonts w:ascii="Aptos" w:hAnsi="Aptos"/>
          <w:lang w:val="en-US"/>
        </w:rPr>
        <w:t xml:space="preserve">, </w:t>
      </w:r>
      <w:r w:rsidRPr="00AB79CD">
        <w:rPr>
          <w:rFonts w:ascii="Aptos" w:hAnsi="Aptos"/>
          <w:lang w:val="en-US"/>
        </w:rPr>
        <w:t>road transport</w:t>
      </w:r>
      <w:r w:rsidRPr="00F6286D">
        <w:rPr>
          <w:rFonts w:ascii="Aptos" w:hAnsi="Aptos"/>
          <w:lang w:val="en-US"/>
        </w:rPr>
        <w:t>,</w:t>
      </w:r>
      <w:r w:rsidRPr="00AB79CD">
        <w:rPr>
          <w:rFonts w:ascii="Aptos" w:hAnsi="Aptos"/>
          <w:lang w:val="en-US"/>
        </w:rPr>
        <w:t> accommodation and food services</w:t>
      </w:r>
      <w:r w:rsidRPr="00F6286D">
        <w:rPr>
          <w:rFonts w:ascii="Aptos" w:hAnsi="Aptos"/>
          <w:lang w:val="en-US"/>
        </w:rPr>
        <w:t xml:space="preserve">, </w:t>
      </w:r>
      <w:r w:rsidRPr="00AB79CD">
        <w:rPr>
          <w:rFonts w:ascii="Aptos" w:hAnsi="Aptos"/>
          <w:lang w:val="en-US"/>
        </w:rPr>
        <w:t>public administration and safety, and health care and social assistance</w:t>
      </w:r>
      <w:r w:rsidRPr="00F6286D">
        <w:rPr>
          <w:rFonts w:ascii="Aptos" w:hAnsi="Aptos"/>
          <w:lang w:val="en-US"/>
        </w:rPr>
        <w:t>.  It is instructive to compare these to the priority industries in WorkSafe New Zealand’s 2024 Strategy.  WorkSafe’s priority industries include the first three of Australia’s seven (plus forestry).</w:t>
      </w:r>
    </w:p>
    <w:p w14:paraId="46F5CC29" w14:textId="77777777" w:rsidR="00444452" w:rsidRPr="00840A9B" w:rsidRDefault="00444452" w:rsidP="00444452">
      <w:pPr>
        <w:pStyle w:val="FootnoteText"/>
        <w:rPr>
          <w:lang w:val="en-US"/>
        </w:rPr>
      </w:pPr>
    </w:p>
  </w:footnote>
  <w:footnote w:id="8">
    <w:p w14:paraId="5EA61171" w14:textId="77777777" w:rsidR="00444452" w:rsidRPr="00DC2C27" w:rsidRDefault="00444452" w:rsidP="00444452">
      <w:pPr>
        <w:pStyle w:val="FootnoteText"/>
        <w:rPr>
          <w:lang w:val="en-US"/>
        </w:rPr>
      </w:pPr>
      <w:r>
        <w:rPr>
          <w:rStyle w:val="FootnoteReference"/>
        </w:rPr>
        <w:footnoteRef/>
      </w:r>
      <w:r>
        <w:t xml:space="preserve"> </w:t>
      </w:r>
      <w:r>
        <w:rPr>
          <w:lang w:val="en-US"/>
        </w:rPr>
        <w:t>Given the severity of accelerated silicosis there is a strong case for quick action on this problem.  This should likely be progressed as part of the Hazardous Substances regulatory reform or faster.</w:t>
      </w:r>
    </w:p>
  </w:footnote>
  <w:footnote w:id="9">
    <w:p w14:paraId="23F80002" w14:textId="77777777" w:rsidR="00444452" w:rsidRPr="00CA1AFF" w:rsidRDefault="00444452" w:rsidP="00444452">
      <w:pPr>
        <w:pStyle w:val="FootnoteText"/>
        <w:rPr>
          <w:lang w:val="en-US"/>
        </w:rPr>
      </w:pPr>
      <w:r>
        <w:rPr>
          <w:rStyle w:val="FootnoteReference"/>
        </w:rPr>
        <w:footnoteRef/>
      </w:r>
      <w:r>
        <w:t xml:space="preserve"> </w:t>
      </w:r>
      <w:r>
        <w:rPr>
          <w:lang w:val="en-US"/>
        </w:rPr>
        <w:t>These also may be progressed as part of the Hazardous Substances Reforms</w:t>
      </w:r>
    </w:p>
  </w:footnote>
  <w:footnote w:id="10">
    <w:p w14:paraId="25200552" w14:textId="77777777" w:rsidR="00444452" w:rsidRPr="00AB55AD" w:rsidRDefault="00444452" w:rsidP="00444452">
      <w:pPr>
        <w:pStyle w:val="FootnoteText"/>
        <w:rPr>
          <w:lang w:val="en-US"/>
        </w:rPr>
      </w:pPr>
      <w:r>
        <w:rPr>
          <w:rStyle w:val="FootnoteReference"/>
        </w:rPr>
        <w:footnoteRef/>
      </w:r>
      <w:r>
        <w:t xml:space="preserve"> </w:t>
      </w:r>
      <w:r>
        <w:rPr>
          <w:lang w:val="en-US"/>
        </w:rPr>
        <w:t xml:space="preserve">There is also a paucity of Safe Work Instruments with only five bought into force since the passage of the Health and Safety at Work Act 2015:  </w:t>
      </w:r>
      <w:hyperlink r:id="rId2" w:history="1">
        <w:r w:rsidRPr="004D0BC7">
          <w:rPr>
            <w:rStyle w:val="Hyperlink"/>
            <w:lang w:val="en-US"/>
          </w:rPr>
          <w:t>https://www.worksafe.govt.nz/laws-and-regulations/safe-work-instruments/</w:t>
        </w:r>
      </w:hyperlink>
    </w:p>
  </w:footnote>
  <w:footnote w:id="11">
    <w:p w14:paraId="23A19A50" w14:textId="687CAC32" w:rsidR="002F7F9F" w:rsidRPr="002F7F9F" w:rsidRDefault="002F7F9F">
      <w:pPr>
        <w:pStyle w:val="FootnoteText"/>
        <w:rPr>
          <w:lang w:val="en-US"/>
        </w:rPr>
      </w:pPr>
      <w:r>
        <w:rPr>
          <w:rStyle w:val="FootnoteReference"/>
        </w:rPr>
        <w:footnoteRef/>
      </w:r>
      <w:r>
        <w:t xml:space="preserve"> </w:t>
      </w:r>
      <w:hyperlink r:id="rId3" w:history="1">
        <w:r w:rsidRPr="002F7F9F">
          <w:rPr>
            <w:rStyle w:val="Hyperlink"/>
            <w:rFonts w:ascii="Aptos" w:eastAsia="Aptos" w:hAnsi="Aptos" w:cs="Aptos"/>
          </w:rPr>
          <w:t>https://www.worksafe.qld.gov.au/about/who-we-are/workplace-health-and-safety-queensland/work-health-and-safety-board-and-committees/industry-sector-standing-committees</w:t>
        </w:r>
      </w:hyperlink>
    </w:p>
  </w:footnote>
  <w:footnote w:id="12">
    <w:p w14:paraId="091341C6" w14:textId="77777777" w:rsidR="00A554BD" w:rsidRPr="001B6A86" w:rsidRDefault="00A554BD" w:rsidP="00A554BD">
      <w:pPr>
        <w:pStyle w:val="FootnoteText"/>
        <w:rPr>
          <w:lang w:val="en-US"/>
        </w:rPr>
      </w:pPr>
      <w:r>
        <w:rPr>
          <w:rStyle w:val="FootnoteReference"/>
        </w:rPr>
        <w:footnoteRef/>
      </w:r>
      <w:r>
        <w:t xml:space="preserve"> </w:t>
      </w:r>
      <w:r>
        <w:rPr>
          <w:lang w:val="en-US"/>
        </w:rPr>
        <w:t>Article 19(3)(4) states that “</w:t>
      </w:r>
      <w:r w:rsidRPr="001B6A86">
        <w:rPr>
          <w:lang w:val="en-US"/>
        </w:rPr>
        <w:t>The Parties welcome the decision of the 110th International Labour Conference by</w:t>
      </w:r>
      <w:r>
        <w:rPr>
          <w:lang w:val="en-US"/>
        </w:rPr>
        <w:t xml:space="preserve"> </w:t>
      </w:r>
      <w:r w:rsidRPr="001B6A86">
        <w:rPr>
          <w:lang w:val="en-US"/>
        </w:rPr>
        <w:t>which a safe and healthy working environment is added to the fundamental principles and</w:t>
      </w:r>
    </w:p>
    <w:p w14:paraId="42CF05D9" w14:textId="77777777" w:rsidR="00A554BD" w:rsidRPr="001B6A86" w:rsidRDefault="00A554BD" w:rsidP="00A554BD">
      <w:pPr>
        <w:pStyle w:val="FootnoteText"/>
        <w:rPr>
          <w:lang w:val="en-US"/>
        </w:rPr>
      </w:pPr>
      <w:r w:rsidRPr="001B6A86">
        <w:rPr>
          <w:lang w:val="en-US"/>
        </w:rPr>
        <w:t>rights at work. No later than at its first meeting the Trade Committee may adopt a decision to</w:t>
      </w:r>
    </w:p>
    <w:p w14:paraId="1B202329" w14:textId="77777777" w:rsidR="00A554BD" w:rsidRPr="00E46FD3" w:rsidRDefault="00A554BD" w:rsidP="00A554BD">
      <w:pPr>
        <w:pStyle w:val="FootnoteText"/>
        <w:rPr>
          <w:lang w:val="en-US"/>
        </w:rPr>
      </w:pPr>
      <w:r w:rsidRPr="001B6A86">
        <w:rPr>
          <w:lang w:val="en-US"/>
        </w:rPr>
        <w:t>amend paragraph 3 accordingly to reflect this addition</w:t>
      </w:r>
      <w:r>
        <w:rPr>
          <w:lang w:val="en-US"/>
        </w:rPr>
        <w:t>.”  We are unsure as to whether this decision has yet been reached.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38A6D" w14:textId="44952C10" w:rsidR="001C4D6E" w:rsidRDefault="00EB1886">
    <w:pPr>
      <w:pStyle w:val="Header"/>
    </w:pPr>
    <w:r>
      <w:rPr>
        <w:noProof/>
      </w:rPr>
      <w:pict w14:anchorId="25353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2822" o:spid="_x0000_s1027" type="#_x0000_t136" alt="" style="position:absolute;margin-left:0;margin-top:0;width:467.8pt;height:204.65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2A4E4" w14:textId="244DDE1A" w:rsidR="00A855B2" w:rsidRDefault="00EB1886" w:rsidP="00FD6FCD">
    <w:pPr>
      <w:pStyle w:val="Header"/>
      <w:jc w:val="right"/>
    </w:pPr>
    <w:r>
      <w:rPr>
        <w:noProof/>
      </w:rPr>
      <w:pict w14:anchorId="01D68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2823" o:spid="_x0000_s1026" type="#_x0000_t136" alt="" style="position:absolute;left:0;text-align:left;margin-left:0;margin-top:0;width:467.8pt;height:204.65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6097C81">
      <w:rPr>
        <w:noProof/>
      </w:rPr>
      <w:drawing>
        <wp:inline distT="0" distB="0" distL="0" distR="0" wp14:anchorId="7EEB523F" wp14:editId="2DEB8DC0">
          <wp:extent cx="2063789" cy="699968"/>
          <wp:effectExtent l="0" t="0" r="0" b="0"/>
          <wp:docPr id="24549273" name="Picture 2454927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9273"/>
                  <pic:cNvPicPr/>
                </pic:nvPicPr>
                <pic:blipFill>
                  <a:blip r:embed="rId1">
                    <a:extLst>
                      <a:ext uri="{28A0092B-C50C-407E-A947-70E740481C1C}">
                        <a14:useLocalDpi xmlns:a14="http://schemas.microsoft.com/office/drawing/2010/main" val="0"/>
                      </a:ext>
                    </a:extLst>
                  </a:blip>
                  <a:stretch>
                    <a:fillRect/>
                  </a:stretch>
                </pic:blipFill>
                <pic:spPr>
                  <a:xfrm>
                    <a:off x="0" y="0"/>
                    <a:ext cx="2063789" cy="6999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BBFCD" w14:textId="7470B1BF" w:rsidR="001C4D6E" w:rsidRDefault="00EB1886">
    <w:pPr>
      <w:pStyle w:val="Header"/>
    </w:pPr>
    <w:r>
      <w:rPr>
        <w:noProof/>
      </w:rPr>
      <w:pict w14:anchorId="59B4E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2821" o:spid="_x0000_s1025" type="#_x0000_t136" alt="" style="position:absolute;margin-left:0;margin-top:0;width:467.8pt;height:204.65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xpJa2VvRKE8TZV" int2:id="1uuF4dLU">
      <int2:state int2:value="Rejected" int2:type="AugLoop_Text_Critique"/>
    </int2:textHash>
    <int2:textHash int2:hashCode="4jcA/ICdRubsm3" int2:id="Ab8Eb8OF">
      <int2:state int2:value="Rejected" int2:type="AugLoop_Text_Critique"/>
    </int2:textHash>
    <int2:textHash int2:hashCode="FXic1IEkckjlp9" int2:id="ApK7SdFo">
      <int2:state int2:value="Rejected" int2:type="AugLoop_Text_Critique"/>
    </int2:textHash>
    <int2:textHash int2:hashCode="7tGQOmX7UTdcml" int2:id="QEAaP5gZ">
      <int2:state int2:value="Rejected" int2:type="AugLoop_Text_Critique"/>
    </int2:textHash>
    <int2:textHash int2:hashCode="Ok8z7HCpCPqPNT" int2:id="QnMvpRSI">
      <int2:state int2:value="Rejected" int2:type="AugLoop_Text_Critique"/>
    </int2:textHash>
    <int2:textHash int2:hashCode="AR+wiGKk+OgrXw" int2:id="Slh14Ej6">
      <int2:state int2:value="Rejected" int2:type="AugLoop_Text_Critique"/>
    </int2:textHash>
    <int2:textHash int2:hashCode="K6+VKXgqkDlz+i" int2:id="WTN3Ngvy">
      <int2:state int2:value="Rejected" int2:type="AugLoop_Text_Critique"/>
    </int2:textHash>
    <int2:textHash int2:hashCode="+eB0Jok5bJ/RME" int2:id="Z496Mtpp">
      <int2:state int2:value="Rejected" int2:type="AugLoop_Text_Critique"/>
    </int2:textHash>
    <int2:textHash int2:hashCode="RoHRJMxsS3O6q/" int2:id="ZehCwdUO">
      <int2:state int2:value="Rejected" int2:type="AugLoop_Text_Critique"/>
    </int2:textHash>
    <int2:textHash int2:hashCode="yyMwVV196JRF1q" int2:id="ZwgxPGa9">
      <int2:state int2:value="Rejected" int2:type="AugLoop_Text_Critique"/>
    </int2:textHash>
    <int2:textHash int2:hashCode="i91KUiBvN4waSr" int2:id="je6AukTE">
      <int2:state int2:value="Rejected" int2:type="AugLoop_Text_Critique"/>
    </int2:textHash>
    <int2:textHash int2:hashCode="jUOmwoKBue0Ej2" int2:id="o0OcwQkf">
      <int2:state int2:value="Rejected" int2:type="AugLoop_Text_Critique"/>
    </int2:textHash>
    <int2:textHash int2:hashCode="hN6B5b8f/AaH/i" int2:id="scbgZ6Kf">
      <int2:state int2:value="Rejected" int2:type="AugLoop_Text_Critique"/>
    </int2:textHash>
    <int2:textHash int2:hashCode="K9X7Xd4L2h5wl4" int2:id="wqevBNtE">
      <int2:state int2:value="Rejected" int2:type="AugLoop_Text_Critique"/>
    </int2:textHash>
    <int2:textHash int2:hashCode="Y+iFykiLdllQS1" int2:id="yyqsKjEN">
      <int2:state int2:value="Rejected" int2:type="AugLoop_Text_Critique"/>
    </int2:textHash>
    <int2:bookmark int2:bookmarkName="_Int_UQ0Jn32o" int2:invalidationBookmarkName="" int2:hashCode="uvC/kut5FWvcNM" int2:id="IAkWg89C">
      <int2:state int2:value="Rejected" int2:type="AugLoop_Text_Critique"/>
    </int2:bookmark>
    <int2:bookmark int2:bookmarkName="_Int_q2bhOV14" int2:invalidationBookmarkName="" int2:hashCode="8NUhpdw3STkByG" int2:id="W9DRarV7">
      <int2:state int2:value="Rejected" int2:type="AugLoop_Text_Critique"/>
    </int2:bookmark>
    <int2:bookmark int2:bookmarkName="_Int_mGLfTlMq" int2:invalidationBookmarkName="" int2:hashCode="tNqAeuke73lC7P" int2:id="w6A9PB23">
      <int2:state int2:value="Rejected" int2:type="AugLoop_Text_Critique"/>
    </int2:bookmark>
    <int2:bookmark int2:bookmarkName="_Int_POxihCH4" int2:invalidationBookmarkName="" int2:hashCode="2SaJYtXmf3T2zG" int2:id="x82cbM1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63EE"/>
    <w:multiLevelType w:val="hybridMultilevel"/>
    <w:tmpl w:val="E2DE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E4CEB"/>
    <w:multiLevelType w:val="hybridMultilevel"/>
    <w:tmpl w:val="E22443E6"/>
    <w:lvl w:ilvl="0" w:tplc="3F6EE642">
      <w:start w:val="1"/>
      <w:numFmt w:val="bullet"/>
      <w:lvlText w:val=""/>
      <w:lvlJc w:val="left"/>
      <w:pPr>
        <w:ind w:left="720" w:hanging="360"/>
      </w:pPr>
      <w:rPr>
        <w:rFonts w:ascii="Symbol" w:hAnsi="Symbol" w:hint="default"/>
      </w:rPr>
    </w:lvl>
    <w:lvl w:ilvl="1" w:tplc="37CE352A">
      <w:start w:val="1"/>
      <w:numFmt w:val="bullet"/>
      <w:lvlText w:val="o"/>
      <w:lvlJc w:val="left"/>
      <w:pPr>
        <w:ind w:left="1440" w:hanging="360"/>
      </w:pPr>
      <w:rPr>
        <w:rFonts w:ascii="Courier New" w:hAnsi="Courier New" w:hint="default"/>
      </w:rPr>
    </w:lvl>
    <w:lvl w:ilvl="2" w:tplc="19CE3F44">
      <w:start w:val="1"/>
      <w:numFmt w:val="bullet"/>
      <w:lvlText w:val=""/>
      <w:lvlJc w:val="left"/>
      <w:pPr>
        <w:ind w:left="2160" w:hanging="360"/>
      </w:pPr>
      <w:rPr>
        <w:rFonts w:ascii="Wingdings" w:hAnsi="Wingdings" w:hint="default"/>
      </w:rPr>
    </w:lvl>
    <w:lvl w:ilvl="3" w:tplc="7EECB5F2">
      <w:start w:val="1"/>
      <w:numFmt w:val="bullet"/>
      <w:lvlText w:val=""/>
      <w:lvlJc w:val="left"/>
      <w:pPr>
        <w:ind w:left="2880" w:hanging="360"/>
      </w:pPr>
      <w:rPr>
        <w:rFonts w:ascii="Symbol" w:hAnsi="Symbol" w:hint="default"/>
      </w:rPr>
    </w:lvl>
    <w:lvl w:ilvl="4" w:tplc="7E0884F6">
      <w:start w:val="1"/>
      <w:numFmt w:val="bullet"/>
      <w:lvlText w:val="o"/>
      <w:lvlJc w:val="left"/>
      <w:pPr>
        <w:ind w:left="3600" w:hanging="360"/>
      </w:pPr>
      <w:rPr>
        <w:rFonts w:ascii="Courier New" w:hAnsi="Courier New" w:hint="default"/>
      </w:rPr>
    </w:lvl>
    <w:lvl w:ilvl="5" w:tplc="64C8EB54">
      <w:start w:val="1"/>
      <w:numFmt w:val="bullet"/>
      <w:lvlText w:val=""/>
      <w:lvlJc w:val="left"/>
      <w:pPr>
        <w:ind w:left="4320" w:hanging="360"/>
      </w:pPr>
      <w:rPr>
        <w:rFonts w:ascii="Wingdings" w:hAnsi="Wingdings" w:hint="default"/>
      </w:rPr>
    </w:lvl>
    <w:lvl w:ilvl="6" w:tplc="B9569954">
      <w:start w:val="1"/>
      <w:numFmt w:val="bullet"/>
      <w:lvlText w:val=""/>
      <w:lvlJc w:val="left"/>
      <w:pPr>
        <w:ind w:left="5040" w:hanging="360"/>
      </w:pPr>
      <w:rPr>
        <w:rFonts w:ascii="Symbol" w:hAnsi="Symbol" w:hint="default"/>
      </w:rPr>
    </w:lvl>
    <w:lvl w:ilvl="7" w:tplc="AE047BC8">
      <w:start w:val="1"/>
      <w:numFmt w:val="bullet"/>
      <w:lvlText w:val="o"/>
      <w:lvlJc w:val="left"/>
      <w:pPr>
        <w:ind w:left="5760" w:hanging="360"/>
      </w:pPr>
      <w:rPr>
        <w:rFonts w:ascii="Courier New" w:hAnsi="Courier New" w:hint="default"/>
      </w:rPr>
    </w:lvl>
    <w:lvl w:ilvl="8" w:tplc="1CAC38BA">
      <w:start w:val="1"/>
      <w:numFmt w:val="bullet"/>
      <w:lvlText w:val=""/>
      <w:lvlJc w:val="left"/>
      <w:pPr>
        <w:ind w:left="6480" w:hanging="360"/>
      </w:pPr>
      <w:rPr>
        <w:rFonts w:ascii="Wingdings" w:hAnsi="Wingdings" w:hint="default"/>
      </w:rPr>
    </w:lvl>
  </w:abstractNum>
  <w:abstractNum w:abstractNumId="2" w15:restartNumberingAfterBreak="0">
    <w:nsid w:val="0D825E5C"/>
    <w:multiLevelType w:val="hybridMultilevel"/>
    <w:tmpl w:val="7EC0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B1F20"/>
    <w:multiLevelType w:val="hybridMultilevel"/>
    <w:tmpl w:val="A7D0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B5C97"/>
    <w:multiLevelType w:val="hybridMultilevel"/>
    <w:tmpl w:val="A3EE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D46E4"/>
    <w:multiLevelType w:val="hybridMultilevel"/>
    <w:tmpl w:val="C9E8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12360"/>
    <w:multiLevelType w:val="hybridMultilevel"/>
    <w:tmpl w:val="B966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568AA"/>
    <w:multiLevelType w:val="hybridMultilevel"/>
    <w:tmpl w:val="2EF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859AB"/>
    <w:multiLevelType w:val="hybridMultilevel"/>
    <w:tmpl w:val="8FF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9A8B1"/>
    <w:multiLevelType w:val="hybridMultilevel"/>
    <w:tmpl w:val="FFFFFFFF"/>
    <w:lvl w:ilvl="0" w:tplc="B108F048">
      <w:start w:val="1"/>
      <w:numFmt w:val="bullet"/>
      <w:lvlText w:val="·"/>
      <w:lvlJc w:val="left"/>
      <w:pPr>
        <w:ind w:left="720" w:hanging="360"/>
      </w:pPr>
      <w:rPr>
        <w:rFonts w:ascii="Symbol" w:hAnsi="Symbol" w:hint="default"/>
      </w:rPr>
    </w:lvl>
    <w:lvl w:ilvl="1" w:tplc="7F22C8DC">
      <w:start w:val="1"/>
      <w:numFmt w:val="bullet"/>
      <w:lvlText w:val="o"/>
      <w:lvlJc w:val="left"/>
      <w:pPr>
        <w:ind w:left="1440" w:hanging="360"/>
      </w:pPr>
      <w:rPr>
        <w:rFonts w:ascii="Courier New" w:hAnsi="Courier New" w:hint="default"/>
      </w:rPr>
    </w:lvl>
    <w:lvl w:ilvl="2" w:tplc="2C365C02">
      <w:start w:val="1"/>
      <w:numFmt w:val="bullet"/>
      <w:lvlText w:val=""/>
      <w:lvlJc w:val="left"/>
      <w:pPr>
        <w:ind w:left="2160" w:hanging="360"/>
      </w:pPr>
      <w:rPr>
        <w:rFonts w:ascii="Wingdings" w:hAnsi="Wingdings" w:hint="default"/>
      </w:rPr>
    </w:lvl>
    <w:lvl w:ilvl="3" w:tplc="20640796">
      <w:start w:val="1"/>
      <w:numFmt w:val="bullet"/>
      <w:lvlText w:val=""/>
      <w:lvlJc w:val="left"/>
      <w:pPr>
        <w:ind w:left="2880" w:hanging="360"/>
      </w:pPr>
      <w:rPr>
        <w:rFonts w:ascii="Symbol" w:hAnsi="Symbol" w:hint="default"/>
      </w:rPr>
    </w:lvl>
    <w:lvl w:ilvl="4" w:tplc="41907EEC">
      <w:start w:val="1"/>
      <w:numFmt w:val="bullet"/>
      <w:lvlText w:val="o"/>
      <w:lvlJc w:val="left"/>
      <w:pPr>
        <w:ind w:left="3600" w:hanging="360"/>
      </w:pPr>
      <w:rPr>
        <w:rFonts w:ascii="Courier New" w:hAnsi="Courier New" w:hint="default"/>
      </w:rPr>
    </w:lvl>
    <w:lvl w:ilvl="5" w:tplc="83EA493A">
      <w:start w:val="1"/>
      <w:numFmt w:val="bullet"/>
      <w:lvlText w:val=""/>
      <w:lvlJc w:val="left"/>
      <w:pPr>
        <w:ind w:left="4320" w:hanging="360"/>
      </w:pPr>
      <w:rPr>
        <w:rFonts w:ascii="Wingdings" w:hAnsi="Wingdings" w:hint="default"/>
      </w:rPr>
    </w:lvl>
    <w:lvl w:ilvl="6" w:tplc="AEB6FE7C">
      <w:start w:val="1"/>
      <w:numFmt w:val="bullet"/>
      <w:lvlText w:val=""/>
      <w:lvlJc w:val="left"/>
      <w:pPr>
        <w:ind w:left="5040" w:hanging="360"/>
      </w:pPr>
      <w:rPr>
        <w:rFonts w:ascii="Symbol" w:hAnsi="Symbol" w:hint="default"/>
      </w:rPr>
    </w:lvl>
    <w:lvl w:ilvl="7" w:tplc="6EBEF8D2">
      <w:start w:val="1"/>
      <w:numFmt w:val="bullet"/>
      <w:lvlText w:val="o"/>
      <w:lvlJc w:val="left"/>
      <w:pPr>
        <w:ind w:left="5760" w:hanging="360"/>
      </w:pPr>
      <w:rPr>
        <w:rFonts w:ascii="Courier New" w:hAnsi="Courier New" w:hint="default"/>
      </w:rPr>
    </w:lvl>
    <w:lvl w:ilvl="8" w:tplc="475CFA5E">
      <w:start w:val="1"/>
      <w:numFmt w:val="bullet"/>
      <w:lvlText w:val=""/>
      <w:lvlJc w:val="left"/>
      <w:pPr>
        <w:ind w:left="6480" w:hanging="360"/>
      </w:pPr>
      <w:rPr>
        <w:rFonts w:ascii="Wingdings" w:hAnsi="Wingdings" w:hint="default"/>
      </w:rPr>
    </w:lvl>
  </w:abstractNum>
  <w:abstractNum w:abstractNumId="10" w15:restartNumberingAfterBreak="0">
    <w:nsid w:val="25630A4E"/>
    <w:multiLevelType w:val="hybridMultilevel"/>
    <w:tmpl w:val="07B8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E079F"/>
    <w:multiLevelType w:val="hybridMultilevel"/>
    <w:tmpl w:val="28C0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48B19"/>
    <w:multiLevelType w:val="hybridMultilevel"/>
    <w:tmpl w:val="FFFFFFFF"/>
    <w:lvl w:ilvl="0" w:tplc="04F0D408">
      <w:start w:val="1"/>
      <w:numFmt w:val="bullet"/>
      <w:lvlText w:val="·"/>
      <w:lvlJc w:val="left"/>
      <w:pPr>
        <w:ind w:left="720" w:hanging="360"/>
      </w:pPr>
      <w:rPr>
        <w:rFonts w:ascii="Symbol" w:hAnsi="Symbol" w:hint="default"/>
      </w:rPr>
    </w:lvl>
    <w:lvl w:ilvl="1" w:tplc="B47CAEE6">
      <w:start w:val="1"/>
      <w:numFmt w:val="bullet"/>
      <w:lvlText w:val="o"/>
      <w:lvlJc w:val="left"/>
      <w:pPr>
        <w:ind w:left="1440" w:hanging="360"/>
      </w:pPr>
      <w:rPr>
        <w:rFonts w:ascii="Courier New" w:hAnsi="Courier New" w:hint="default"/>
      </w:rPr>
    </w:lvl>
    <w:lvl w:ilvl="2" w:tplc="4920E510">
      <w:start w:val="1"/>
      <w:numFmt w:val="bullet"/>
      <w:lvlText w:val=""/>
      <w:lvlJc w:val="left"/>
      <w:pPr>
        <w:ind w:left="2160" w:hanging="360"/>
      </w:pPr>
      <w:rPr>
        <w:rFonts w:ascii="Wingdings" w:hAnsi="Wingdings" w:hint="default"/>
      </w:rPr>
    </w:lvl>
    <w:lvl w:ilvl="3" w:tplc="54329C14">
      <w:start w:val="1"/>
      <w:numFmt w:val="bullet"/>
      <w:lvlText w:val=""/>
      <w:lvlJc w:val="left"/>
      <w:pPr>
        <w:ind w:left="2880" w:hanging="360"/>
      </w:pPr>
      <w:rPr>
        <w:rFonts w:ascii="Symbol" w:hAnsi="Symbol" w:hint="default"/>
      </w:rPr>
    </w:lvl>
    <w:lvl w:ilvl="4" w:tplc="43C8C5A4">
      <w:start w:val="1"/>
      <w:numFmt w:val="bullet"/>
      <w:lvlText w:val="o"/>
      <w:lvlJc w:val="left"/>
      <w:pPr>
        <w:ind w:left="3600" w:hanging="360"/>
      </w:pPr>
      <w:rPr>
        <w:rFonts w:ascii="Courier New" w:hAnsi="Courier New" w:hint="default"/>
      </w:rPr>
    </w:lvl>
    <w:lvl w:ilvl="5" w:tplc="B5CAB730">
      <w:start w:val="1"/>
      <w:numFmt w:val="bullet"/>
      <w:lvlText w:val=""/>
      <w:lvlJc w:val="left"/>
      <w:pPr>
        <w:ind w:left="4320" w:hanging="360"/>
      </w:pPr>
      <w:rPr>
        <w:rFonts w:ascii="Wingdings" w:hAnsi="Wingdings" w:hint="default"/>
      </w:rPr>
    </w:lvl>
    <w:lvl w:ilvl="6" w:tplc="4F7CC576">
      <w:start w:val="1"/>
      <w:numFmt w:val="bullet"/>
      <w:lvlText w:val=""/>
      <w:lvlJc w:val="left"/>
      <w:pPr>
        <w:ind w:left="5040" w:hanging="360"/>
      </w:pPr>
      <w:rPr>
        <w:rFonts w:ascii="Symbol" w:hAnsi="Symbol" w:hint="default"/>
      </w:rPr>
    </w:lvl>
    <w:lvl w:ilvl="7" w:tplc="B964C452">
      <w:start w:val="1"/>
      <w:numFmt w:val="bullet"/>
      <w:lvlText w:val="o"/>
      <w:lvlJc w:val="left"/>
      <w:pPr>
        <w:ind w:left="5760" w:hanging="360"/>
      </w:pPr>
      <w:rPr>
        <w:rFonts w:ascii="Courier New" w:hAnsi="Courier New" w:hint="default"/>
      </w:rPr>
    </w:lvl>
    <w:lvl w:ilvl="8" w:tplc="F1EA6494">
      <w:start w:val="1"/>
      <w:numFmt w:val="bullet"/>
      <w:lvlText w:val=""/>
      <w:lvlJc w:val="left"/>
      <w:pPr>
        <w:ind w:left="6480" w:hanging="360"/>
      </w:pPr>
      <w:rPr>
        <w:rFonts w:ascii="Wingdings" w:hAnsi="Wingdings" w:hint="default"/>
      </w:rPr>
    </w:lvl>
  </w:abstractNum>
  <w:abstractNum w:abstractNumId="13" w15:restartNumberingAfterBreak="0">
    <w:nsid w:val="2D1D77D1"/>
    <w:multiLevelType w:val="multilevel"/>
    <w:tmpl w:val="CC14A6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05A73"/>
    <w:multiLevelType w:val="hybridMultilevel"/>
    <w:tmpl w:val="6DE0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F6365"/>
    <w:multiLevelType w:val="hybridMultilevel"/>
    <w:tmpl w:val="F12E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60222"/>
    <w:multiLevelType w:val="hybridMultilevel"/>
    <w:tmpl w:val="EA74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17321"/>
    <w:multiLevelType w:val="hybridMultilevel"/>
    <w:tmpl w:val="0758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A3AC6"/>
    <w:multiLevelType w:val="hybridMultilevel"/>
    <w:tmpl w:val="E6BC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24966"/>
    <w:multiLevelType w:val="hybridMultilevel"/>
    <w:tmpl w:val="26F6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D2133"/>
    <w:multiLevelType w:val="hybridMultilevel"/>
    <w:tmpl w:val="A6C4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98EAB2"/>
    <w:multiLevelType w:val="hybridMultilevel"/>
    <w:tmpl w:val="FFFFFFFF"/>
    <w:lvl w:ilvl="0" w:tplc="80D626A2">
      <w:start w:val="1"/>
      <w:numFmt w:val="bullet"/>
      <w:lvlText w:val="·"/>
      <w:lvlJc w:val="left"/>
      <w:pPr>
        <w:ind w:left="720" w:hanging="360"/>
      </w:pPr>
      <w:rPr>
        <w:rFonts w:ascii="Symbol" w:hAnsi="Symbol" w:hint="default"/>
      </w:rPr>
    </w:lvl>
    <w:lvl w:ilvl="1" w:tplc="9AFEB022">
      <w:start w:val="1"/>
      <w:numFmt w:val="bullet"/>
      <w:lvlText w:val="o"/>
      <w:lvlJc w:val="left"/>
      <w:pPr>
        <w:ind w:left="1440" w:hanging="360"/>
      </w:pPr>
      <w:rPr>
        <w:rFonts w:ascii="Courier New" w:hAnsi="Courier New" w:hint="default"/>
      </w:rPr>
    </w:lvl>
    <w:lvl w:ilvl="2" w:tplc="8900539A">
      <w:start w:val="1"/>
      <w:numFmt w:val="bullet"/>
      <w:lvlText w:val=""/>
      <w:lvlJc w:val="left"/>
      <w:pPr>
        <w:ind w:left="2160" w:hanging="360"/>
      </w:pPr>
      <w:rPr>
        <w:rFonts w:ascii="Wingdings" w:hAnsi="Wingdings" w:hint="default"/>
      </w:rPr>
    </w:lvl>
    <w:lvl w:ilvl="3" w:tplc="AE64AE14">
      <w:start w:val="1"/>
      <w:numFmt w:val="bullet"/>
      <w:lvlText w:val=""/>
      <w:lvlJc w:val="left"/>
      <w:pPr>
        <w:ind w:left="2880" w:hanging="360"/>
      </w:pPr>
      <w:rPr>
        <w:rFonts w:ascii="Symbol" w:hAnsi="Symbol" w:hint="default"/>
      </w:rPr>
    </w:lvl>
    <w:lvl w:ilvl="4" w:tplc="B0DA3524">
      <w:start w:val="1"/>
      <w:numFmt w:val="bullet"/>
      <w:lvlText w:val="o"/>
      <w:lvlJc w:val="left"/>
      <w:pPr>
        <w:ind w:left="3600" w:hanging="360"/>
      </w:pPr>
      <w:rPr>
        <w:rFonts w:ascii="Courier New" w:hAnsi="Courier New" w:hint="default"/>
      </w:rPr>
    </w:lvl>
    <w:lvl w:ilvl="5" w:tplc="01BAAFE4">
      <w:start w:val="1"/>
      <w:numFmt w:val="bullet"/>
      <w:lvlText w:val=""/>
      <w:lvlJc w:val="left"/>
      <w:pPr>
        <w:ind w:left="4320" w:hanging="360"/>
      </w:pPr>
      <w:rPr>
        <w:rFonts w:ascii="Wingdings" w:hAnsi="Wingdings" w:hint="default"/>
      </w:rPr>
    </w:lvl>
    <w:lvl w:ilvl="6" w:tplc="3EE435BC">
      <w:start w:val="1"/>
      <w:numFmt w:val="bullet"/>
      <w:lvlText w:val=""/>
      <w:lvlJc w:val="left"/>
      <w:pPr>
        <w:ind w:left="5040" w:hanging="360"/>
      </w:pPr>
      <w:rPr>
        <w:rFonts w:ascii="Symbol" w:hAnsi="Symbol" w:hint="default"/>
      </w:rPr>
    </w:lvl>
    <w:lvl w:ilvl="7" w:tplc="D042FF86">
      <w:start w:val="1"/>
      <w:numFmt w:val="bullet"/>
      <w:lvlText w:val="o"/>
      <w:lvlJc w:val="left"/>
      <w:pPr>
        <w:ind w:left="5760" w:hanging="360"/>
      </w:pPr>
      <w:rPr>
        <w:rFonts w:ascii="Courier New" w:hAnsi="Courier New" w:hint="default"/>
      </w:rPr>
    </w:lvl>
    <w:lvl w:ilvl="8" w:tplc="75FEFE10">
      <w:start w:val="1"/>
      <w:numFmt w:val="bullet"/>
      <w:lvlText w:val=""/>
      <w:lvlJc w:val="left"/>
      <w:pPr>
        <w:ind w:left="6480" w:hanging="360"/>
      </w:pPr>
      <w:rPr>
        <w:rFonts w:ascii="Wingdings" w:hAnsi="Wingdings" w:hint="default"/>
      </w:rPr>
    </w:lvl>
  </w:abstractNum>
  <w:abstractNum w:abstractNumId="22" w15:restartNumberingAfterBreak="0">
    <w:nsid w:val="467C42EC"/>
    <w:multiLevelType w:val="hybridMultilevel"/>
    <w:tmpl w:val="5430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41852"/>
    <w:multiLevelType w:val="hybridMultilevel"/>
    <w:tmpl w:val="5CF2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B9C4A"/>
    <w:multiLevelType w:val="hybridMultilevel"/>
    <w:tmpl w:val="FFFFFFFF"/>
    <w:lvl w:ilvl="0" w:tplc="382C3FAE">
      <w:start w:val="1"/>
      <w:numFmt w:val="bullet"/>
      <w:lvlText w:val="·"/>
      <w:lvlJc w:val="left"/>
      <w:pPr>
        <w:ind w:left="720" w:hanging="360"/>
      </w:pPr>
      <w:rPr>
        <w:rFonts w:ascii="Symbol" w:hAnsi="Symbol" w:hint="default"/>
      </w:rPr>
    </w:lvl>
    <w:lvl w:ilvl="1" w:tplc="6AD87B18">
      <w:start w:val="1"/>
      <w:numFmt w:val="bullet"/>
      <w:lvlText w:val="o"/>
      <w:lvlJc w:val="left"/>
      <w:pPr>
        <w:ind w:left="1440" w:hanging="360"/>
      </w:pPr>
      <w:rPr>
        <w:rFonts w:ascii="Courier New" w:hAnsi="Courier New" w:hint="default"/>
      </w:rPr>
    </w:lvl>
    <w:lvl w:ilvl="2" w:tplc="AC9C805C">
      <w:start w:val="1"/>
      <w:numFmt w:val="bullet"/>
      <w:lvlText w:val=""/>
      <w:lvlJc w:val="left"/>
      <w:pPr>
        <w:ind w:left="2160" w:hanging="360"/>
      </w:pPr>
      <w:rPr>
        <w:rFonts w:ascii="Wingdings" w:hAnsi="Wingdings" w:hint="default"/>
      </w:rPr>
    </w:lvl>
    <w:lvl w:ilvl="3" w:tplc="CF0C983C">
      <w:start w:val="1"/>
      <w:numFmt w:val="bullet"/>
      <w:lvlText w:val=""/>
      <w:lvlJc w:val="left"/>
      <w:pPr>
        <w:ind w:left="2880" w:hanging="360"/>
      </w:pPr>
      <w:rPr>
        <w:rFonts w:ascii="Symbol" w:hAnsi="Symbol" w:hint="default"/>
      </w:rPr>
    </w:lvl>
    <w:lvl w:ilvl="4" w:tplc="C102216E">
      <w:start w:val="1"/>
      <w:numFmt w:val="bullet"/>
      <w:lvlText w:val="o"/>
      <w:lvlJc w:val="left"/>
      <w:pPr>
        <w:ind w:left="3600" w:hanging="360"/>
      </w:pPr>
      <w:rPr>
        <w:rFonts w:ascii="Courier New" w:hAnsi="Courier New" w:hint="default"/>
      </w:rPr>
    </w:lvl>
    <w:lvl w:ilvl="5" w:tplc="01DE0E82">
      <w:start w:val="1"/>
      <w:numFmt w:val="bullet"/>
      <w:lvlText w:val=""/>
      <w:lvlJc w:val="left"/>
      <w:pPr>
        <w:ind w:left="4320" w:hanging="360"/>
      </w:pPr>
      <w:rPr>
        <w:rFonts w:ascii="Wingdings" w:hAnsi="Wingdings" w:hint="default"/>
      </w:rPr>
    </w:lvl>
    <w:lvl w:ilvl="6" w:tplc="FB9E6D6E">
      <w:start w:val="1"/>
      <w:numFmt w:val="bullet"/>
      <w:lvlText w:val=""/>
      <w:lvlJc w:val="left"/>
      <w:pPr>
        <w:ind w:left="5040" w:hanging="360"/>
      </w:pPr>
      <w:rPr>
        <w:rFonts w:ascii="Symbol" w:hAnsi="Symbol" w:hint="default"/>
      </w:rPr>
    </w:lvl>
    <w:lvl w:ilvl="7" w:tplc="B6800122">
      <w:start w:val="1"/>
      <w:numFmt w:val="bullet"/>
      <w:lvlText w:val="o"/>
      <w:lvlJc w:val="left"/>
      <w:pPr>
        <w:ind w:left="5760" w:hanging="360"/>
      </w:pPr>
      <w:rPr>
        <w:rFonts w:ascii="Courier New" w:hAnsi="Courier New" w:hint="default"/>
      </w:rPr>
    </w:lvl>
    <w:lvl w:ilvl="8" w:tplc="EEDE63E8">
      <w:start w:val="1"/>
      <w:numFmt w:val="bullet"/>
      <w:lvlText w:val=""/>
      <w:lvlJc w:val="left"/>
      <w:pPr>
        <w:ind w:left="6480" w:hanging="360"/>
      </w:pPr>
      <w:rPr>
        <w:rFonts w:ascii="Wingdings" w:hAnsi="Wingdings" w:hint="default"/>
      </w:rPr>
    </w:lvl>
  </w:abstractNum>
  <w:abstractNum w:abstractNumId="25" w15:restartNumberingAfterBreak="0">
    <w:nsid w:val="4CC5694F"/>
    <w:multiLevelType w:val="hybridMultilevel"/>
    <w:tmpl w:val="7892E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A22C8"/>
    <w:multiLevelType w:val="hybridMultilevel"/>
    <w:tmpl w:val="0E98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854A4"/>
    <w:multiLevelType w:val="hybridMultilevel"/>
    <w:tmpl w:val="CA3CEF4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54CE3D9C"/>
    <w:multiLevelType w:val="hybridMultilevel"/>
    <w:tmpl w:val="9D4C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A4DCB"/>
    <w:multiLevelType w:val="hybridMultilevel"/>
    <w:tmpl w:val="548E3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1229B8"/>
    <w:multiLevelType w:val="hybridMultilevel"/>
    <w:tmpl w:val="7A6C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4D7599"/>
    <w:multiLevelType w:val="hybridMultilevel"/>
    <w:tmpl w:val="9FCE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A60261"/>
    <w:multiLevelType w:val="hybridMultilevel"/>
    <w:tmpl w:val="EE7A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BD5495"/>
    <w:multiLevelType w:val="hybridMultilevel"/>
    <w:tmpl w:val="0158E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C2E8DD8">
      <w:numFmt w:val="bullet"/>
      <w:lvlText w:val="•"/>
      <w:lvlJc w:val="left"/>
      <w:pPr>
        <w:ind w:left="2160" w:hanging="360"/>
      </w:pPr>
      <w:rPr>
        <w:rFonts w:ascii="Aptos" w:eastAsiaTheme="minorHAnsi" w:hAnsi="Apto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D3D2D"/>
    <w:multiLevelType w:val="hybridMultilevel"/>
    <w:tmpl w:val="29981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63297"/>
    <w:multiLevelType w:val="hybridMultilevel"/>
    <w:tmpl w:val="35A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BA3A9D"/>
    <w:multiLevelType w:val="hybridMultilevel"/>
    <w:tmpl w:val="FFFFFFFF"/>
    <w:lvl w:ilvl="0" w:tplc="B39CD466">
      <w:start w:val="1"/>
      <w:numFmt w:val="bullet"/>
      <w:lvlText w:val="·"/>
      <w:lvlJc w:val="left"/>
      <w:pPr>
        <w:ind w:left="720" w:hanging="360"/>
      </w:pPr>
      <w:rPr>
        <w:rFonts w:ascii="Symbol" w:hAnsi="Symbol" w:hint="default"/>
      </w:rPr>
    </w:lvl>
    <w:lvl w:ilvl="1" w:tplc="C834013E">
      <w:start w:val="1"/>
      <w:numFmt w:val="bullet"/>
      <w:lvlText w:val="o"/>
      <w:lvlJc w:val="left"/>
      <w:pPr>
        <w:ind w:left="1440" w:hanging="360"/>
      </w:pPr>
      <w:rPr>
        <w:rFonts w:ascii="Courier New" w:hAnsi="Courier New" w:hint="default"/>
      </w:rPr>
    </w:lvl>
    <w:lvl w:ilvl="2" w:tplc="E996C8B6">
      <w:start w:val="1"/>
      <w:numFmt w:val="bullet"/>
      <w:lvlText w:val=""/>
      <w:lvlJc w:val="left"/>
      <w:pPr>
        <w:ind w:left="2160" w:hanging="360"/>
      </w:pPr>
      <w:rPr>
        <w:rFonts w:ascii="Wingdings" w:hAnsi="Wingdings" w:hint="default"/>
      </w:rPr>
    </w:lvl>
    <w:lvl w:ilvl="3" w:tplc="7C648238">
      <w:start w:val="1"/>
      <w:numFmt w:val="bullet"/>
      <w:lvlText w:val=""/>
      <w:lvlJc w:val="left"/>
      <w:pPr>
        <w:ind w:left="2880" w:hanging="360"/>
      </w:pPr>
      <w:rPr>
        <w:rFonts w:ascii="Symbol" w:hAnsi="Symbol" w:hint="default"/>
      </w:rPr>
    </w:lvl>
    <w:lvl w:ilvl="4" w:tplc="47E0ECFA">
      <w:start w:val="1"/>
      <w:numFmt w:val="bullet"/>
      <w:lvlText w:val="o"/>
      <w:lvlJc w:val="left"/>
      <w:pPr>
        <w:ind w:left="3600" w:hanging="360"/>
      </w:pPr>
      <w:rPr>
        <w:rFonts w:ascii="Courier New" w:hAnsi="Courier New" w:hint="default"/>
      </w:rPr>
    </w:lvl>
    <w:lvl w:ilvl="5" w:tplc="EEE08D9E">
      <w:start w:val="1"/>
      <w:numFmt w:val="bullet"/>
      <w:lvlText w:val=""/>
      <w:lvlJc w:val="left"/>
      <w:pPr>
        <w:ind w:left="4320" w:hanging="360"/>
      </w:pPr>
      <w:rPr>
        <w:rFonts w:ascii="Wingdings" w:hAnsi="Wingdings" w:hint="default"/>
      </w:rPr>
    </w:lvl>
    <w:lvl w:ilvl="6" w:tplc="877C1EC2">
      <w:start w:val="1"/>
      <w:numFmt w:val="bullet"/>
      <w:lvlText w:val=""/>
      <w:lvlJc w:val="left"/>
      <w:pPr>
        <w:ind w:left="5040" w:hanging="360"/>
      </w:pPr>
      <w:rPr>
        <w:rFonts w:ascii="Symbol" w:hAnsi="Symbol" w:hint="default"/>
      </w:rPr>
    </w:lvl>
    <w:lvl w:ilvl="7" w:tplc="643E2B52">
      <w:start w:val="1"/>
      <w:numFmt w:val="bullet"/>
      <w:lvlText w:val="o"/>
      <w:lvlJc w:val="left"/>
      <w:pPr>
        <w:ind w:left="5760" w:hanging="360"/>
      </w:pPr>
      <w:rPr>
        <w:rFonts w:ascii="Courier New" w:hAnsi="Courier New" w:hint="default"/>
      </w:rPr>
    </w:lvl>
    <w:lvl w:ilvl="8" w:tplc="6F7ECEF4">
      <w:start w:val="1"/>
      <w:numFmt w:val="bullet"/>
      <w:lvlText w:val=""/>
      <w:lvlJc w:val="left"/>
      <w:pPr>
        <w:ind w:left="6480" w:hanging="360"/>
      </w:pPr>
      <w:rPr>
        <w:rFonts w:ascii="Wingdings" w:hAnsi="Wingdings" w:hint="default"/>
      </w:rPr>
    </w:lvl>
  </w:abstractNum>
  <w:abstractNum w:abstractNumId="37" w15:restartNumberingAfterBreak="0">
    <w:nsid w:val="69C2758B"/>
    <w:multiLevelType w:val="hybridMultilevel"/>
    <w:tmpl w:val="46EAD1E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6C7643C2"/>
    <w:multiLevelType w:val="hybridMultilevel"/>
    <w:tmpl w:val="3CA6F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5A5BFE"/>
    <w:multiLevelType w:val="hybridMultilevel"/>
    <w:tmpl w:val="E674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D85400"/>
    <w:multiLevelType w:val="hybridMultilevel"/>
    <w:tmpl w:val="8690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275E6"/>
    <w:multiLevelType w:val="multilevel"/>
    <w:tmpl w:val="78D0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363CD6"/>
    <w:multiLevelType w:val="hybridMultilevel"/>
    <w:tmpl w:val="448E4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405417"/>
    <w:multiLevelType w:val="hybridMultilevel"/>
    <w:tmpl w:val="61A0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5D7EF7"/>
    <w:multiLevelType w:val="hybridMultilevel"/>
    <w:tmpl w:val="520AAED2"/>
    <w:lvl w:ilvl="0" w:tplc="31B0B39A">
      <w:start w:val="1"/>
      <w:numFmt w:val="bullet"/>
      <w:lvlText w:val=""/>
      <w:lvlJc w:val="left"/>
      <w:pPr>
        <w:ind w:left="720" w:hanging="360"/>
      </w:pPr>
      <w:rPr>
        <w:rFonts w:ascii="Symbol" w:hAnsi="Symbol" w:hint="default"/>
      </w:rPr>
    </w:lvl>
    <w:lvl w:ilvl="1" w:tplc="AB661A2C">
      <w:start w:val="1"/>
      <w:numFmt w:val="bullet"/>
      <w:lvlText w:val="o"/>
      <w:lvlJc w:val="left"/>
      <w:pPr>
        <w:ind w:left="1440" w:hanging="360"/>
      </w:pPr>
      <w:rPr>
        <w:rFonts w:ascii="Courier New" w:hAnsi="Courier New" w:hint="default"/>
      </w:rPr>
    </w:lvl>
    <w:lvl w:ilvl="2" w:tplc="7E644608">
      <w:start w:val="1"/>
      <w:numFmt w:val="bullet"/>
      <w:lvlText w:val=""/>
      <w:lvlJc w:val="left"/>
      <w:pPr>
        <w:ind w:left="2160" w:hanging="360"/>
      </w:pPr>
      <w:rPr>
        <w:rFonts w:ascii="Wingdings" w:hAnsi="Wingdings" w:hint="default"/>
      </w:rPr>
    </w:lvl>
    <w:lvl w:ilvl="3" w:tplc="1E504EA8">
      <w:start w:val="1"/>
      <w:numFmt w:val="bullet"/>
      <w:lvlText w:val=""/>
      <w:lvlJc w:val="left"/>
      <w:pPr>
        <w:ind w:left="2880" w:hanging="360"/>
      </w:pPr>
      <w:rPr>
        <w:rFonts w:ascii="Symbol" w:hAnsi="Symbol" w:hint="default"/>
      </w:rPr>
    </w:lvl>
    <w:lvl w:ilvl="4" w:tplc="FC44895E">
      <w:start w:val="1"/>
      <w:numFmt w:val="bullet"/>
      <w:lvlText w:val="o"/>
      <w:lvlJc w:val="left"/>
      <w:pPr>
        <w:ind w:left="3600" w:hanging="360"/>
      </w:pPr>
      <w:rPr>
        <w:rFonts w:ascii="Courier New" w:hAnsi="Courier New" w:hint="default"/>
      </w:rPr>
    </w:lvl>
    <w:lvl w:ilvl="5" w:tplc="676873BC">
      <w:start w:val="1"/>
      <w:numFmt w:val="bullet"/>
      <w:lvlText w:val=""/>
      <w:lvlJc w:val="left"/>
      <w:pPr>
        <w:ind w:left="4320" w:hanging="360"/>
      </w:pPr>
      <w:rPr>
        <w:rFonts w:ascii="Wingdings" w:hAnsi="Wingdings" w:hint="default"/>
      </w:rPr>
    </w:lvl>
    <w:lvl w:ilvl="6" w:tplc="73A033E0">
      <w:start w:val="1"/>
      <w:numFmt w:val="bullet"/>
      <w:lvlText w:val=""/>
      <w:lvlJc w:val="left"/>
      <w:pPr>
        <w:ind w:left="5040" w:hanging="360"/>
      </w:pPr>
      <w:rPr>
        <w:rFonts w:ascii="Symbol" w:hAnsi="Symbol" w:hint="default"/>
      </w:rPr>
    </w:lvl>
    <w:lvl w:ilvl="7" w:tplc="66CCFF90">
      <w:start w:val="1"/>
      <w:numFmt w:val="bullet"/>
      <w:lvlText w:val="o"/>
      <w:lvlJc w:val="left"/>
      <w:pPr>
        <w:ind w:left="5760" w:hanging="360"/>
      </w:pPr>
      <w:rPr>
        <w:rFonts w:ascii="Courier New" w:hAnsi="Courier New" w:hint="default"/>
      </w:rPr>
    </w:lvl>
    <w:lvl w:ilvl="8" w:tplc="C6565774">
      <w:start w:val="1"/>
      <w:numFmt w:val="bullet"/>
      <w:lvlText w:val=""/>
      <w:lvlJc w:val="left"/>
      <w:pPr>
        <w:ind w:left="6480" w:hanging="360"/>
      </w:pPr>
      <w:rPr>
        <w:rFonts w:ascii="Wingdings" w:hAnsi="Wingdings" w:hint="default"/>
      </w:rPr>
    </w:lvl>
  </w:abstractNum>
  <w:abstractNum w:abstractNumId="45" w15:restartNumberingAfterBreak="0">
    <w:nsid w:val="78496430"/>
    <w:multiLevelType w:val="hybridMultilevel"/>
    <w:tmpl w:val="8D74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522E9"/>
    <w:multiLevelType w:val="hybridMultilevel"/>
    <w:tmpl w:val="0AE091CE"/>
    <w:lvl w:ilvl="0" w:tplc="ABC08CE0">
      <w:start w:val="4"/>
      <w:numFmt w:val="bullet"/>
      <w:lvlText w:val="-"/>
      <w:lvlJc w:val="left"/>
      <w:pPr>
        <w:ind w:left="400" w:hanging="360"/>
      </w:pPr>
      <w:rPr>
        <w:rFonts w:ascii="Aptos" w:eastAsiaTheme="minorHAnsi" w:hAnsi="Aptos" w:cstheme="minorBid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15:restartNumberingAfterBreak="0">
    <w:nsid w:val="7CD7220D"/>
    <w:multiLevelType w:val="hybridMultilevel"/>
    <w:tmpl w:val="0108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818711">
    <w:abstractNumId w:val="12"/>
  </w:num>
  <w:num w:numId="2" w16cid:durableId="2049790849">
    <w:abstractNumId w:val="24"/>
  </w:num>
  <w:num w:numId="3" w16cid:durableId="1846940600">
    <w:abstractNumId w:val="9"/>
  </w:num>
  <w:num w:numId="4" w16cid:durableId="1965456724">
    <w:abstractNumId w:val="21"/>
  </w:num>
  <w:num w:numId="5" w16cid:durableId="1530489440">
    <w:abstractNumId w:val="36"/>
  </w:num>
  <w:num w:numId="6" w16cid:durableId="1452168346">
    <w:abstractNumId w:val="44"/>
  </w:num>
  <w:num w:numId="7" w16cid:durableId="1108738949">
    <w:abstractNumId w:val="1"/>
  </w:num>
  <w:num w:numId="8" w16cid:durableId="2109304435">
    <w:abstractNumId w:val="47"/>
  </w:num>
  <w:num w:numId="9" w16cid:durableId="535242762">
    <w:abstractNumId w:val="25"/>
  </w:num>
  <w:num w:numId="10" w16cid:durableId="1027486133">
    <w:abstractNumId w:val="18"/>
  </w:num>
  <w:num w:numId="11" w16cid:durableId="912156514">
    <w:abstractNumId w:val="40"/>
  </w:num>
  <w:num w:numId="12" w16cid:durableId="1747920166">
    <w:abstractNumId w:val="30"/>
  </w:num>
  <w:num w:numId="13" w16cid:durableId="145434455">
    <w:abstractNumId w:val="42"/>
  </w:num>
  <w:num w:numId="14" w16cid:durableId="145246614">
    <w:abstractNumId w:val="14"/>
  </w:num>
  <w:num w:numId="15" w16cid:durableId="596328582">
    <w:abstractNumId w:val="4"/>
  </w:num>
  <w:num w:numId="16" w16cid:durableId="1375734009">
    <w:abstractNumId w:val="38"/>
  </w:num>
  <w:num w:numId="17" w16cid:durableId="1141463317">
    <w:abstractNumId w:val="19"/>
  </w:num>
  <w:num w:numId="18" w16cid:durableId="32966511">
    <w:abstractNumId w:val="46"/>
  </w:num>
  <w:num w:numId="19" w16cid:durableId="929659005">
    <w:abstractNumId w:val="8"/>
  </w:num>
  <w:num w:numId="20" w16cid:durableId="179709205">
    <w:abstractNumId w:val="23"/>
  </w:num>
  <w:num w:numId="21" w16cid:durableId="1422678799">
    <w:abstractNumId w:val="7"/>
  </w:num>
  <w:num w:numId="22" w16cid:durableId="35590186">
    <w:abstractNumId w:val="29"/>
  </w:num>
  <w:num w:numId="23" w16cid:durableId="2131703302">
    <w:abstractNumId w:val="16"/>
  </w:num>
  <w:num w:numId="24" w16cid:durableId="48841557">
    <w:abstractNumId w:val="35"/>
  </w:num>
  <w:num w:numId="25" w16cid:durableId="1441413712">
    <w:abstractNumId w:val="28"/>
  </w:num>
  <w:num w:numId="26" w16cid:durableId="1275091652">
    <w:abstractNumId w:val="33"/>
  </w:num>
  <w:num w:numId="27" w16cid:durableId="1617251333">
    <w:abstractNumId w:val="5"/>
  </w:num>
  <w:num w:numId="28" w16cid:durableId="813832290">
    <w:abstractNumId w:val="11"/>
  </w:num>
  <w:num w:numId="29" w16cid:durableId="764226297">
    <w:abstractNumId w:val="22"/>
  </w:num>
  <w:num w:numId="30" w16cid:durableId="1501194773">
    <w:abstractNumId w:val="45"/>
  </w:num>
  <w:num w:numId="31" w16cid:durableId="1887713208">
    <w:abstractNumId w:val="20"/>
  </w:num>
  <w:num w:numId="32" w16cid:durableId="1654795474">
    <w:abstractNumId w:val="17"/>
  </w:num>
  <w:num w:numId="33" w16cid:durableId="857893318">
    <w:abstractNumId w:val="3"/>
  </w:num>
  <w:num w:numId="34" w16cid:durableId="294718792">
    <w:abstractNumId w:val="13"/>
  </w:num>
  <w:num w:numId="35" w16cid:durableId="411195847">
    <w:abstractNumId w:val="34"/>
  </w:num>
  <w:num w:numId="36" w16cid:durableId="324820768">
    <w:abstractNumId w:val="2"/>
  </w:num>
  <w:num w:numId="37" w16cid:durableId="487095186">
    <w:abstractNumId w:val="39"/>
  </w:num>
  <w:num w:numId="38" w16cid:durableId="1209607587">
    <w:abstractNumId w:val="6"/>
  </w:num>
  <w:num w:numId="39" w16cid:durableId="1101605949">
    <w:abstractNumId w:val="37"/>
  </w:num>
  <w:num w:numId="40" w16cid:durableId="774400153">
    <w:abstractNumId w:val="41"/>
  </w:num>
  <w:num w:numId="41" w16cid:durableId="1974868279">
    <w:abstractNumId w:val="43"/>
  </w:num>
  <w:num w:numId="42" w16cid:durableId="942569265">
    <w:abstractNumId w:val="31"/>
  </w:num>
  <w:num w:numId="43" w16cid:durableId="2128767922">
    <w:abstractNumId w:val="32"/>
  </w:num>
  <w:num w:numId="44" w16cid:durableId="1120878891">
    <w:abstractNumId w:val="26"/>
  </w:num>
  <w:num w:numId="45" w16cid:durableId="2026057636">
    <w:abstractNumId w:val="27"/>
  </w:num>
  <w:num w:numId="46" w16cid:durableId="1852910755">
    <w:abstractNumId w:val="10"/>
  </w:num>
  <w:num w:numId="47" w16cid:durableId="1328705771">
    <w:abstractNumId w:val="15"/>
  </w:num>
  <w:num w:numId="48" w16cid:durableId="1909537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B19"/>
    <w:rsid w:val="00000994"/>
    <w:rsid w:val="0000151C"/>
    <w:rsid w:val="00004523"/>
    <w:rsid w:val="00005BD7"/>
    <w:rsid w:val="00011594"/>
    <w:rsid w:val="00012657"/>
    <w:rsid w:val="0001479B"/>
    <w:rsid w:val="00016193"/>
    <w:rsid w:val="00024FF1"/>
    <w:rsid w:val="000304A8"/>
    <w:rsid w:val="0003360E"/>
    <w:rsid w:val="000361DD"/>
    <w:rsid w:val="00036C1A"/>
    <w:rsid w:val="00042729"/>
    <w:rsid w:val="000442E2"/>
    <w:rsid w:val="000452B2"/>
    <w:rsid w:val="000454D0"/>
    <w:rsid w:val="00054B40"/>
    <w:rsid w:val="00060941"/>
    <w:rsid w:val="000616EC"/>
    <w:rsid w:val="000638B4"/>
    <w:rsid w:val="00066448"/>
    <w:rsid w:val="00070D20"/>
    <w:rsid w:val="00071BE2"/>
    <w:rsid w:val="000742FE"/>
    <w:rsid w:val="000946EF"/>
    <w:rsid w:val="000961DE"/>
    <w:rsid w:val="000A0B8E"/>
    <w:rsid w:val="000A0D44"/>
    <w:rsid w:val="000A61C1"/>
    <w:rsid w:val="000A76A4"/>
    <w:rsid w:val="000B082D"/>
    <w:rsid w:val="000B16A9"/>
    <w:rsid w:val="000B4427"/>
    <w:rsid w:val="000B52CA"/>
    <w:rsid w:val="000B53EA"/>
    <w:rsid w:val="000C2FF2"/>
    <w:rsid w:val="000C403C"/>
    <w:rsid w:val="000C46EB"/>
    <w:rsid w:val="000C5429"/>
    <w:rsid w:val="000C5A0E"/>
    <w:rsid w:val="000C5F96"/>
    <w:rsid w:val="000D2E96"/>
    <w:rsid w:val="000D3353"/>
    <w:rsid w:val="000D55FA"/>
    <w:rsid w:val="000D6EB3"/>
    <w:rsid w:val="000D724A"/>
    <w:rsid w:val="000E0D5F"/>
    <w:rsid w:val="000E0F81"/>
    <w:rsid w:val="000E25BA"/>
    <w:rsid w:val="000E277A"/>
    <w:rsid w:val="000E34AE"/>
    <w:rsid w:val="000E4E68"/>
    <w:rsid w:val="000E54D2"/>
    <w:rsid w:val="000E5BAD"/>
    <w:rsid w:val="000F3CEA"/>
    <w:rsid w:val="000F5850"/>
    <w:rsid w:val="000F6914"/>
    <w:rsid w:val="000F6D3D"/>
    <w:rsid w:val="000F6FD5"/>
    <w:rsid w:val="0010028E"/>
    <w:rsid w:val="001009AF"/>
    <w:rsid w:val="00104388"/>
    <w:rsid w:val="00104508"/>
    <w:rsid w:val="001056EB"/>
    <w:rsid w:val="00111955"/>
    <w:rsid w:val="001122B2"/>
    <w:rsid w:val="00113522"/>
    <w:rsid w:val="001141CD"/>
    <w:rsid w:val="00114B7A"/>
    <w:rsid w:val="00115FA9"/>
    <w:rsid w:val="00122D5F"/>
    <w:rsid w:val="0012373B"/>
    <w:rsid w:val="001242FB"/>
    <w:rsid w:val="00124FFF"/>
    <w:rsid w:val="00125CAD"/>
    <w:rsid w:val="00125F47"/>
    <w:rsid w:val="00126C9C"/>
    <w:rsid w:val="00132276"/>
    <w:rsid w:val="001328BE"/>
    <w:rsid w:val="00137FBF"/>
    <w:rsid w:val="00145103"/>
    <w:rsid w:val="00150AD6"/>
    <w:rsid w:val="00151454"/>
    <w:rsid w:val="00155252"/>
    <w:rsid w:val="00157DEA"/>
    <w:rsid w:val="0016039F"/>
    <w:rsid w:val="001605AF"/>
    <w:rsid w:val="0016416D"/>
    <w:rsid w:val="00164978"/>
    <w:rsid w:val="00165CE9"/>
    <w:rsid w:val="00166852"/>
    <w:rsid w:val="00166936"/>
    <w:rsid w:val="00171AEB"/>
    <w:rsid w:val="0017322A"/>
    <w:rsid w:val="00174658"/>
    <w:rsid w:val="0017506B"/>
    <w:rsid w:val="001758FE"/>
    <w:rsid w:val="00175B81"/>
    <w:rsid w:val="00175F20"/>
    <w:rsid w:val="001774D9"/>
    <w:rsid w:val="001805B3"/>
    <w:rsid w:val="00185C18"/>
    <w:rsid w:val="0019015C"/>
    <w:rsid w:val="0019059F"/>
    <w:rsid w:val="001911B4"/>
    <w:rsid w:val="00194F1F"/>
    <w:rsid w:val="001A1448"/>
    <w:rsid w:val="001A20CF"/>
    <w:rsid w:val="001A448B"/>
    <w:rsid w:val="001B1F00"/>
    <w:rsid w:val="001B4B89"/>
    <w:rsid w:val="001B63D0"/>
    <w:rsid w:val="001B6A86"/>
    <w:rsid w:val="001C034B"/>
    <w:rsid w:val="001C379B"/>
    <w:rsid w:val="001C4D6E"/>
    <w:rsid w:val="001C5205"/>
    <w:rsid w:val="001D0281"/>
    <w:rsid w:val="001E2384"/>
    <w:rsid w:val="001E45F6"/>
    <w:rsid w:val="001E4A75"/>
    <w:rsid w:val="001E58EC"/>
    <w:rsid w:val="001F1A87"/>
    <w:rsid w:val="001F1AAE"/>
    <w:rsid w:val="002046C2"/>
    <w:rsid w:val="00206345"/>
    <w:rsid w:val="002070EB"/>
    <w:rsid w:val="00214082"/>
    <w:rsid w:val="00216CA0"/>
    <w:rsid w:val="00216E7F"/>
    <w:rsid w:val="0021795F"/>
    <w:rsid w:val="002179F3"/>
    <w:rsid w:val="00223DF9"/>
    <w:rsid w:val="00225CF5"/>
    <w:rsid w:val="00227ED6"/>
    <w:rsid w:val="00230C4C"/>
    <w:rsid w:val="00234EBB"/>
    <w:rsid w:val="00236F5A"/>
    <w:rsid w:val="00237A82"/>
    <w:rsid w:val="00241A86"/>
    <w:rsid w:val="002470D4"/>
    <w:rsid w:val="00247E51"/>
    <w:rsid w:val="002535F8"/>
    <w:rsid w:val="00260E7E"/>
    <w:rsid w:val="0026303C"/>
    <w:rsid w:val="00267247"/>
    <w:rsid w:val="002674D0"/>
    <w:rsid w:val="00281BFC"/>
    <w:rsid w:val="00283D54"/>
    <w:rsid w:val="00291204"/>
    <w:rsid w:val="002915B2"/>
    <w:rsid w:val="00291D62"/>
    <w:rsid w:val="002A416A"/>
    <w:rsid w:val="002A63C1"/>
    <w:rsid w:val="002B0642"/>
    <w:rsid w:val="002B08D1"/>
    <w:rsid w:val="002B3575"/>
    <w:rsid w:val="002B4FDC"/>
    <w:rsid w:val="002B746E"/>
    <w:rsid w:val="002C04DB"/>
    <w:rsid w:val="002C1A51"/>
    <w:rsid w:val="002C3208"/>
    <w:rsid w:val="002C396F"/>
    <w:rsid w:val="002D0DAB"/>
    <w:rsid w:val="002D45B8"/>
    <w:rsid w:val="002D4C05"/>
    <w:rsid w:val="002D74C8"/>
    <w:rsid w:val="002D7DC6"/>
    <w:rsid w:val="002F1FE5"/>
    <w:rsid w:val="002F5702"/>
    <w:rsid w:val="002F7F9F"/>
    <w:rsid w:val="003024DF"/>
    <w:rsid w:val="00302FD2"/>
    <w:rsid w:val="00303B91"/>
    <w:rsid w:val="00305449"/>
    <w:rsid w:val="0030598D"/>
    <w:rsid w:val="003118F0"/>
    <w:rsid w:val="00320C28"/>
    <w:rsid w:val="00321AC6"/>
    <w:rsid w:val="00322DD6"/>
    <w:rsid w:val="00324344"/>
    <w:rsid w:val="00342D84"/>
    <w:rsid w:val="0034546D"/>
    <w:rsid w:val="00350E6A"/>
    <w:rsid w:val="00352405"/>
    <w:rsid w:val="00352EC5"/>
    <w:rsid w:val="003545D6"/>
    <w:rsid w:val="003567AE"/>
    <w:rsid w:val="00361CA2"/>
    <w:rsid w:val="00365650"/>
    <w:rsid w:val="003707C6"/>
    <w:rsid w:val="00375600"/>
    <w:rsid w:val="00375F69"/>
    <w:rsid w:val="00381B64"/>
    <w:rsid w:val="00381E67"/>
    <w:rsid w:val="00384455"/>
    <w:rsid w:val="003858B0"/>
    <w:rsid w:val="00392009"/>
    <w:rsid w:val="00394A75"/>
    <w:rsid w:val="00394B7A"/>
    <w:rsid w:val="00395DF8"/>
    <w:rsid w:val="00397A34"/>
    <w:rsid w:val="003A6E6A"/>
    <w:rsid w:val="003B21E0"/>
    <w:rsid w:val="003B53B6"/>
    <w:rsid w:val="003B5861"/>
    <w:rsid w:val="003B65D4"/>
    <w:rsid w:val="003C0804"/>
    <w:rsid w:val="003C50C8"/>
    <w:rsid w:val="003C6B8D"/>
    <w:rsid w:val="003D2EE4"/>
    <w:rsid w:val="003D4AB3"/>
    <w:rsid w:val="003E2D26"/>
    <w:rsid w:val="003E4AA9"/>
    <w:rsid w:val="003F04A7"/>
    <w:rsid w:val="003F29C1"/>
    <w:rsid w:val="003F3CD5"/>
    <w:rsid w:val="003F5D04"/>
    <w:rsid w:val="0040122B"/>
    <w:rsid w:val="00401A2F"/>
    <w:rsid w:val="00402926"/>
    <w:rsid w:val="00402D87"/>
    <w:rsid w:val="00404893"/>
    <w:rsid w:val="00404A79"/>
    <w:rsid w:val="00411AE3"/>
    <w:rsid w:val="00414DD6"/>
    <w:rsid w:val="00417AFF"/>
    <w:rsid w:val="00420CF9"/>
    <w:rsid w:val="00421BBE"/>
    <w:rsid w:val="00421D70"/>
    <w:rsid w:val="00425A36"/>
    <w:rsid w:val="00426C84"/>
    <w:rsid w:val="00431E1E"/>
    <w:rsid w:val="00432F15"/>
    <w:rsid w:val="004355D0"/>
    <w:rsid w:val="004376B1"/>
    <w:rsid w:val="00437AB8"/>
    <w:rsid w:val="00437BE8"/>
    <w:rsid w:val="00441E46"/>
    <w:rsid w:val="00442240"/>
    <w:rsid w:val="00442516"/>
    <w:rsid w:val="004429FE"/>
    <w:rsid w:val="00444452"/>
    <w:rsid w:val="00445977"/>
    <w:rsid w:val="00445A9F"/>
    <w:rsid w:val="00447CFF"/>
    <w:rsid w:val="004512C4"/>
    <w:rsid w:val="0045199D"/>
    <w:rsid w:val="00457B19"/>
    <w:rsid w:val="00466EF9"/>
    <w:rsid w:val="004718AF"/>
    <w:rsid w:val="004731E1"/>
    <w:rsid w:val="004754F0"/>
    <w:rsid w:val="004770E3"/>
    <w:rsid w:val="004816E8"/>
    <w:rsid w:val="00482859"/>
    <w:rsid w:val="004844DF"/>
    <w:rsid w:val="00484A64"/>
    <w:rsid w:val="00487024"/>
    <w:rsid w:val="00490F90"/>
    <w:rsid w:val="00492ED1"/>
    <w:rsid w:val="00494210"/>
    <w:rsid w:val="00497194"/>
    <w:rsid w:val="00497ED5"/>
    <w:rsid w:val="004A0A2B"/>
    <w:rsid w:val="004A1AC6"/>
    <w:rsid w:val="004A1FC2"/>
    <w:rsid w:val="004A5C64"/>
    <w:rsid w:val="004A6018"/>
    <w:rsid w:val="004B0368"/>
    <w:rsid w:val="004B05E8"/>
    <w:rsid w:val="004B3BB8"/>
    <w:rsid w:val="004C6211"/>
    <w:rsid w:val="004C6E60"/>
    <w:rsid w:val="004D0BC7"/>
    <w:rsid w:val="004D1497"/>
    <w:rsid w:val="004D1AEA"/>
    <w:rsid w:val="004D24D2"/>
    <w:rsid w:val="004D27F0"/>
    <w:rsid w:val="004D40FB"/>
    <w:rsid w:val="004D5059"/>
    <w:rsid w:val="004D5813"/>
    <w:rsid w:val="004D686F"/>
    <w:rsid w:val="004E1ECC"/>
    <w:rsid w:val="004E4A3B"/>
    <w:rsid w:val="004E4D85"/>
    <w:rsid w:val="004E574F"/>
    <w:rsid w:val="004E63B4"/>
    <w:rsid w:val="004E6C1A"/>
    <w:rsid w:val="004E7648"/>
    <w:rsid w:val="004F639C"/>
    <w:rsid w:val="00503B5A"/>
    <w:rsid w:val="0050701A"/>
    <w:rsid w:val="0050795C"/>
    <w:rsid w:val="00510A8A"/>
    <w:rsid w:val="005149FC"/>
    <w:rsid w:val="00516061"/>
    <w:rsid w:val="00517CE3"/>
    <w:rsid w:val="0052744E"/>
    <w:rsid w:val="00534F8E"/>
    <w:rsid w:val="00540DC9"/>
    <w:rsid w:val="00543158"/>
    <w:rsid w:val="00547F23"/>
    <w:rsid w:val="00554736"/>
    <w:rsid w:val="0055714A"/>
    <w:rsid w:val="005575F8"/>
    <w:rsid w:val="00563644"/>
    <w:rsid w:val="0056532B"/>
    <w:rsid w:val="00572389"/>
    <w:rsid w:val="00580A47"/>
    <w:rsid w:val="00581E33"/>
    <w:rsid w:val="00582434"/>
    <w:rsid w:val="00590106"/>
    <w:rsid w:val="00595B82"/>
    <w:rsid w:val="005A0EBE"/>
    <w:rsid w:val="005A3E35"/>
    <w:rsid w:val="005A7DAC"/>
    <w:rsid w:val="005B0987"/>
    <w:rsid w:val="005B2B8A"/>
    <w:rsid w:val="005B2E5F"/>
    <w:rsid w:val="005B4316"/>
    <w:rsid w:val="005B6E78"/>
    <w:rsid w:val="005C1B74"/>
    <w:rsid w:val="005C2248"/>
    <w:rsid w:val="005C4444"/>
    <w:rsid w:val="005C465A"/>
    <w:rsid w:val="005C48C6"/>
    <w:rsid w:val="005D1520"/>
    <w:rsid w:val="005D3A72"/>
    <w:rsid w:val="005D533D"/>
    <w:rsid w:val="005E05F9"/>
    <w:rsid w:val="005E2A9B"/>
    <w:rsid w:val="005E53A9"/>
    <w:rsid w:val="005E6C1E"/>
    <w:rsid w:val="005F5AFC"/>
    <w:rsid w:val="005F6F28"/>
    <w:rsid w:val="005F74F7"/>
    <w:rsid w:val="006005F5"/>
    <w:rsid w:val="00604FD0"/>
    <w:rsid w:val="006138DB"/>
    <w:rsid w:val="00615F88"/>
    <w:rsid w:val="00624A44"/>
    <w:rsid w:val="00632E99"/>
    <w:rsid w:val="00632F46"/>
    <w:rsid w:val="00640964"/>
    <w:rsid w:val="006429DD"/>
    <w:rsid w:val="0064310A"/>
    <w:rsid w:val="0064483C"/>
    <w:rsid w:val="00644AE6"/>
    <w:rsid w:val="006476E7"/>
    <w:rsid w:val="006524A3"/>
    <w:rsid w:val="0065497E"/>
    <w:rsid w:val="0065708C"/>
    <w:rsid w:val="006616F0"/>
    <w:rsid w:val="0066194F"/>
    <w:rsid w:val="00661C76"/>
    <w:rsid w:val="00663124"/>
    <w:rsid w:val="00663C59"/>
    <w:rsid w:val="00667E2D"/>
    <w:rsid w:val="00671D75"/>
    <w:rsid w:val="00675775"/>
    <w:rsid w:val="0067776F"/>
    <w:rsid w:val="00684703"/>
    <w:rsid w:val="006923EE"/>
    <w:rsid w:val="006A3171"/>
    <w:rsid w:val="006A6170"/>
    <w:rsid w:val="006A7D94"/>
    <w:rsid w:val="006B17F0"/>
    <w:rsid w:val="006B2F20"/>
    <w:rsid w:val="006B6B3A"/>
    <w:rsid w:val="006C0454"/>
    <w:rsid w:val="006C4747"/>
    <w:rsid w:val="006C59D6"/>
    <w:rsid w:val="006C6546"/>
    <w:rsid w:val="006C794F"/>
    <w:rsid w:val="006D2710"/>
    <w:rsid w:val="006D33D7"/>
    <w:rsid w:val="006D36FD"/>
    <w:rsid w:val="006E5213"/>
    <w:rsid w:val="006F0F9C"/>
    <w:rsid w:val="006F14E9"/>
    <w:rsid w:val="006F2860"/>
    <w:rsid w:val="006F3DE1"/>
    <w:rsid w:val="00702FCE"/>
    <w:rsid w:val="00703B8A"/>
    <w:rsid w:val="00703F6D"/>
    <w:rsid w:val="00704221"/>
    <w:rsid w:val="0070529D"/>
    <w:rsid w:val="00705D54"/>
    <w:rsid w:val="007074CB"/>
    <w:rsid w:val="0070790F"/>
    <w:rsid w:val="00707AC3"/>
    <w:rsid w:val="007124C8"/>
    <w:rsid w:val="00717B51"/>
    <w:rsid w:val="00720C37"/>
    <w:rsid w:val="00722C5A"/>
    <w:rsid w:val="00722CFC"/>
    <w:rsid w:val="00727CB2"/>
    <w:rsid w:val="00732BA0"/>
    <w:rsid w:val="00733701"/>
    <w:rsid w:val="00733BFB"/>
    <w:rsid w:val="007342E5"/>
    <w:rsid w:val="00736D84"/>
    <w:rsid w:val="00737A58"/>
    <w:rsid w:val="007409E5"/>
    <w:rsid w:val="00746EB8"/>
    <w:rsid w:val="00751348"/>
    <w:rsid w:val="007535A6"/>
    <w:rsid w:val="00756045"/>
    <w:rsid w:val="00756F5D"/>
    <w:rsid w:val="00757EA4"/>
    <w:rsid w:val="007623B1"/>
    <w:rsid w:val="00764061"/>
    <w:rsid w:val="00765FA3"/>
    <w:rsid w:val="00784C8E"/>
    <w:rsid w:val="007914BC"/>
    <w:rsid w:val="00793F87"/>
    <w:rsid w:val="00794DEB"/>
    <w:rsid w:val="007B0814"/>
    <w:rsid w:val="007B2C71"/>
    <w:rsid w:val="007B345B"/>
    <w:rsid w:val="007B41F4"/>
    <w:rsid w:val="007B4EE2"/>
    <w:rsid w:val="007B68CE"/>
    <w:rsid w:val="007C2EC8"/>
    <w:rsid w:val="007C33A0"/>
    <w:rsid w:val="007C5CBE"/>
    <w:rsid w:val="007C5D69"/>
    <w:rsid w:val="007C60E0"/>
    <w:rsid w:val="007D1754"/>
    <w:rsid w:val="007D47FF"/>
    <w:rsid w:val="007D54F6"/>
    <w:rsid w:val="007D62D2"/>
    <w:rsid w:val="007E1298"/>
    <w:rsid w:val="007E2848"/>
    <w:rsid w:val="007E2CC8"/>
    <w:rsid w:val="007E5621"/>
    <w:rsid w:val="007F3B07"/>
    <w:rsid w:val="007F3CD7"/>
    <w:rsid w:val="007F3FE0"/>
    <w:rsid w:val="007F4D91"/>
    <w:rsid w:val="007F5C2A"/>
    <w:rsid w:val="007F7794"/>
    <w:rsid w:val="0080291F"/>
    <w:rsid w:val="00804369"/>
    <w:rsid w:val="00810EA9"/>
    <w:rsid w:val="00813B1E"/>
    <w:rsid w:val="00820D1D"/>
    <w:rsid w:val="008220D6"/>
    <w:rsid w:val="00824CE0"/>
    <w:rsid w:val="00825819"/>
    <w:rsid w:val="0083140D"/>
    <w:rsid w:val="0083193F"/>
    <w:rsid w:val="008345C1"/>
    <w:rsid w:val="00835718"/>
    <w:rsid w:val="00837521"/>
    <w:rsid w:val="00840A9B"/>
    <w:rsid w:val="00841509"/>
    <w:rsid w:val="0084247C"/>
    <w:rsid w:val="00842A98"/>
    <w:rsid w:val="00844753"/>
    <w:rsid w:val="0085257A"/>
    <w:rsid w:val="00855286"/>
    <w:rsid w:val="008555FE"/>
    <w:rsid w:val="008606F1"/>
    <w:rsid w:val="008725A5"/>
    <w:rsid w:val="008779D2"/>
    <w:rsid w:val="00882DF8"/>
    <w:rsid w:val="00885219"/>
    <w:rsid w:val="008866EF"/>
    <w:rsid w:val="00892A1F"/>
    <w:rsid w:val="0089776F"/>
    <w:rsid w:val="008A35CB"/>
    <w:rsid w:val="008A4649"/>
    <w:rsid w:val="008A5E45"/>
    <w:rsid w:val="008A7137"/>
    <w:rsid w:val="008B5C57"/>
    <w:rsid w:val="008B73DA"/>
    <w:rsid w:val="008C2E52"/>
    <w:rsid w:val="008D0578"/>
    <w:rsid w:val="008D2EE4"/>
    <w:rsid w:val="008D35EA"/>
    <w:rsid w:val="008D3E48"/>
    <w:rsid w:val="008D3FCE"/>
    <w:rsid w:val="008D7E31"/>
    <w:rsid w:val="008E254C"/>
    <w:rsid w:val="008E5791"/>
    <w:rsid w:val="008F0A74"/>
    <w:rsid w:val="008F14B0"/>
    <w:rsid w:val="008F1D35"/>
    <w:rsid w:val="008F40E8"/>
    <w:rsid w:val="008F5E5E"/>
    <w:rsid w:val="0090543E"/>
    <w:rsid w:val="00906F64"/>
    <w:rsid w:val="0091163F"/>
    <w:rsid w:val="00913147"/>
    <w:rsid w:val="0091622E"/>
    <w:rsid w:val="00922EFB"/>
    <w:rsid w:val="00927687"/>
    <w:rsid w:val="00930197"/>
    <w:rsid w:val="00930273"/>
    <w:rsid w:val="009306B1"/>
    <w:rsid w:val="0093385B"/>
    <w:rsid w:val="0094336F"/>
    <w:rsid w:val="00945F17"/>
    <w:rsid w:val="00950569"/>
    <w:rsid w:val="00952674"/>
    <w:rsid w:val="00952E2B"/>
    <w:rsid w:val="0095581E"/>
    <w:rsid w:val="009610BD"/>
    <w:rsid w:val="00974D07"/>
    <w:rsid w:val="00975717"/>
    <w:rsid w:val="009759D9"/>
    <w:rsid w:val="00975E79"/>
    <w:rsid w:val="009762F2"/>
    <w:rsid w:val="00980BF4"/>
    <w:rsid w:val="009821DC"/>
    <w:rsid w:val="00985082"/>
    <w:rsid w:val="009852D9"/>
    <w:rsid w:val="009862CE"/>
    <w:rsid w:val="009877CA"/>
    <w:rsid w:val="00995CAA"/>
    <w:rsid w:val="009967BB"/>
    <w:rsid w:val="009A134B"/>
    <w:rsid w:val="009A19F9"/>
    <w:rsid w:val="009A461F"/>
    <w:rsid w:val="009A5428"/>
    <w:rsid w:val="009A5466"/>
    <w:rsid w:val="009A639E"/>
    <w:rsid w:val="009B0255"/>
    <w:rsid w:val="009C3A59"/>
    <w:rsid w:val="009C6B0E"/>
    <w:rsid w:val="009C7A32"/>
    <w:rsid w:val="009D13CF"/>
    <w:rsid w:val="009D19AB"/>
    <w:rsid w:val="009D28EE"/>
    <w:rsid w:val="009D30CD"/>
    <w:rsid w:val="009D5B2C"/>
    <w:rsid w:val="009D65B4"/>
    <w:rsid w:val="009D6CC7"/>
    <w:rsid w:val="009D739A"/>
    <w:rsid w:val="009E3FB2"/>
    <w:rsid w:val="009E6BC0"/>
    <w:rsid w:val="009E706D"/>
    <w:rsid w:val="009F059D"/>
    <w:rsid w:val="00A01F0D"/>
    <w:rsid w:val="00A10DB5"/>
    <w:rsid w:val="00A11D4D"/>
    <w:rsid w:val="00A21400"/>
    <w:rsid w:val="00A245FF"/>
    <w:rsid w:val="00A26917"/>
    <w:rsid w:val="00A2752B"/>
    <w:rsid w:val="00A30E64"/>
    <w:rsid w:val="00A31319"/>
    <w:rsid w:val="00A33603"/>
    <w:rsid w:val="00A33E1D"/>
    <w:rsid w:val="00A3553A"/>
    <w:rsid w:val="00A425BE"/>
    <w:rsid w:val="00A47491"/>
    <w:rsid w:val="00A519C3"/>
    <w:rsid w:val="00A541C9"/>
    <w:rsid w:val="00A554BD"/>
    <w:rsid w:val="00A61F67"/>
    <w:rsid w:val="00A7116C"/>
    <w:rsid w:val="00A73383"/>
    <w:rsid w:val="00A7345B"/>
    <w:rsid w:val="00A7772B"/>
    <w:rsid w:val="00A8076F"/>
    <w:rsid w:val="00A824A4"/>
    <w:rsid w:val="00A855B2"/>
    <w:rsid w:val="00A85B44"/>
    <w:rsid w:val="00A876EC"/>
    <w:rsid w:val="00A90EA2"/>
    <w:rsid w:val="00A946A7"/>
    <w:rsid w:val="00A97A08"/>
    <w:rsid w:val="00AA2B8F"/>
    <w:rsid w:val="00AA55B0"/>
    <w:rsid w:val="00AA59BE"/>
    <w:rsid w:val="00AA61F0"/>
    <w:rsid w:val="00AA6E48"/>
    <w:rsid w:val="00AB4458"/>
    <w:rsid w:val="00AB55AD"/>
    <w:rsid w:val="00AB632E"/>
    <w:rsid w:val="00AB6588"/>
    <w:rsid w:val="00AB70A2"/>
    <w:rsid w:val="00AB79CD"/>
    <w:rsid w:val="00AC1C0C"/>
    <w:rsid w:val="00AD0DA7"/>
    <w:rsid w:val="00AD0DB3"/>
    <w:rsid w:val="00AD1900"/>
    <w:rsid w:val="00AD311D"/>
    <w:rsid w:val="00AE2690"/>
    <w:rsid w:val="00AE2924"/>
    <w:rsid w:val="00AE5C7B"/>
    <w:rsid w:val="00AF0C45"/>
    <w:rsid w:val="00AF3026"/>
    <w:rsid w:val="00AF4943"/>
    <w:rsid w:val="00AF64EA"/>
    <w:rsid w:val="00B0211E"/>
    <w:rsid w:val="00B0341E"/>
    <w:rsid w:val="00B045F5"/>
    <w:rsid w:val="00B05157"/>
    <w:rsid w:val="00B07ED8"/>
    <w:rsid w:val="00B10AD2"/>
    <w:rsid w:val="00B13978"/>
    <w:rsid w:val="00B17174"/>
    <w:rsid w:val="00B21AD4"/>
    <w:rsid w:val="00B232F5"/>
    <w:rsid w:val="00B23305"/>
    <w:rsid w:val="00B23F40"/>
    <w:rsid w:val="00B244D7"/>
    <w:rsid w:val="00B30C36"/>
    <w:rsid w:val="00B32381"/>
    <w:rsid w:val="00B3504E"/>
    <w:rsid w:val="00B47DE3"/>
    <w:rsid w:val="00B5228D"/>
    <w:rsid w:val="00B523D0"/>
    <w:rsid w:val="00B52B69"/>
    <w:rsid w:val="00B53B90"/>
    <w:rsid w:val="00B61033"/>
    <w:rsid w:val="00B670AA"/>
    <w:rsid w:val="00B74A1B"/>
    <w:rsid w:val="00B75817"/>
    <w:rsid w:val="00B773FD"/>
    <w:rsid w:val="00B84406"/>
    <w:rsid w:val="00B86E7A"/>
    <w:rsid w:val="00B946F8"/>
    <w:rsid w:val="00B952C2"/>
    <w:rsid w:val="00B976AB"/>
    <w:rsid w:val="00B97D45"/>
    <w:rsid w:val="00BA4AF4"/>
    <w:rsid w:val="00BA5AE1"/>
    <w:rsid w:val="00BB0FD2"/>
    <w:rsid w:val="00BB5236"/>
    <w:rsid w:val="00BB75D0"/>
    <w:rsid w:val="00BC2BB0"/>
    <w:rsid w:val="00BC4569"/>
    <w:rsid w:val="00BC4892"/>
    <w:rsid w:val="00BD1325"/>
    <w:rsid w:val="00BD185E"/>
    <w:rsid w:val="00BD6E76"/>
    <w:rsid w:val="00BE0073"/>
    <w:rsid w:val="00BE1533"/>
    <w:rsid w:val="00BE4DAB"/>
    <w:rsid w:val="00BE5754"/>
    <w:rsid w:val="00BE66E4"/>
    <w:rsid w:val="00BF4831"/>
    <w:rsid w:val="00BF4B72"/>
    <w:rsid w:val="00BF6CF4"/>
    <w:rsid w:val="00C01A3F"/>
    <w:rsid w:val="00C029CC"/>
    <w:rsid w:val="00C02EA0"/>
    <w:rsid w:val="00C064E0"/>
    <w:rsid w:val="00C06CFB"/>
    <w:rsid w:val="00C10F81"/>
    <w:rsid w:val="00C12303"/>
    <w:rsid w:val="00C15F96"/>
    <w:rsid w:val="00C20F70"/>
    <w:rsid w:val="00C221E3"/>
    <w:rsid w:val="00C223ED"/>
    <w:rsid w:val="00C27596"/>
    <w:rsid w:val="00C45A59"/>
    <w:rsid w:val="00C50C23"/>
    <w:rsid w:val="00C50C9A"/>
    <w:rsid w:val="00C559D2"/>
    <w:rsid w:val="00C55F82"/>
    <w:rsid w:val="00C56B17"/>
    <w:rsid w:val="00C608F8"/>
    <w:rsid w:val="00C62997"/>
    <w:rsid w:val="00C62C98"/>
    <w:rsid w:val="00C63CCE"/>
    <w:rsid w:val="00C66465"/>
    <w:rsid w:val="00C7161B"/>
    <w:rsid w:val="00C71C4E"/>
    <w:rsid w:val="00C71E5C"/>
    <w:rsid w:val="00C75F82"/>
    <w:rsid w:val="00C77EFD"/>
    <w:rsid w:val="00C869F7"/>
    <w:rsid w:val="00C87DC4"/>
    <w:rsid w:val="00C90494"/>
    <w:rsid w:val="00C95399"/>
    <w:rsid w:val="00C95A9E"/>
    <w:rsid w:val="00CA1AFF"/>
    <w:rsid w:val="00CA406B"/>
    <w:rsid w:val="00CA65CA"/>
    <w:rsid w:val="00CA75D8"/>
    <w:rsid w:val="00CA78B3"/>
    <w:rsid w:val="00CB01C8"/>
    <w:rsid w:val="00CB4B45"/>
    <w:rsid w:val="00CC04B0"/>
    <w:rsid w:val="00CC3EAA"/>
    <w:rsid w:val="00CC7B30"/>
    <w:rsid w:val="00CD0867"/>
    <w:rsid w:val="00CD14F1"/>
    <w:rsid w:val="00CD2178"/>
    <w:rsid w:val="00CD4B24"/>
    <w:rsid w:val="00CE43FE"/>
    <w:rsid w:val="00CE6ED0"/>
    <w:rsid w:val="00CE7F93"/>
    <w:rsid w:val="00CF2EC8"/>
    <w:rsid w:val="00CF5123"/>
    <w:rsid w:val="00CF555D"/>
    <w:rsid w:val="00D00EDE"/>
    <w:rsid w:val="00D02475"/>
    <w:rsid w:val="00D03632"/>
    <w:rsid w:val="00D11BC5"/>
    <w:rsid w:val="00D163CB"/>
    <w:rsid w:val="00D164DB"/>
    <w:rsid w:val="00D17290"/>
    <w:rsid w:val="00D27B48"/>
    <w:rsid w:val="00D35A40"/>
    <w:rsid w:val="00D40678"/>
    <w:rsid w:val="00D40B00"/>
    <w:rsid w:val="00D510FA"/>
    <w:rsid w:val="00D53EC0"/>
    <w:rsid w:val="00D552B6"/>
    <w:rsid w:val="00D55667"/>
    <w:rsid w:val="00D557C3"/>
    <w:rsid w:val="00D57216"/>
    <w:rsid w:val="00D60ABA"/>
    <w:rsid w:val="00D61484"/>
    <w:rsid w:val="00D64528"/>
    <w:rsid w:val="00D64584"/>
    <w:rsid w:val="00D72E77"/>
    <w:rsid w:val="00D7315F"/>
    <w:rsid w:val="00D760A4"/>
    <w:rsid w:val="00D80856"/>
    <w:rsid w:val="00D86E24"/>
    <w:rsid w:val="00D86F0E"/>
    <w:rsid w:val="00D87A27"/>
    <w:rsid w:val="00D90E52"/>
    <w:rsid w:val="00D92713"/>
    <w:rsid w:val="00D97F5A"/>
    <w:rsid w:val="00DA0DA8"/>
    <w:rsid w:val="00DA2561"/>
    <w:rsid w:val="00DA2AFC"/>
    <w:rsid w:val="00DA2F26"/>
    <w:rsid w:val="00DA799A"/>
    <w:rsid w:val="00DB1199"/>
    <w:rsid w:val="00DB3276"/>
    <w:rsid w:val="00DB3F58"/>
    <w:rsid w:val="00DC2C27"/>
    <w:rsid w:val="00DC7530"/>
    <w:rsid w:val="00DD0971"/>
    <w:rsid w:val="00DD5356"/>
    <w:rsid w:val="00DD5FFA"/>
    <w:rsid w:val="00DE1578"/>
    <w:rsid w:val="00DF542F"/>
    <w:rsid w:val="00E028D1"/>
    <w:rsid w:val="00E0492D"/>
    <w:rsid w:val="00E07C62"/>
    <w:rsid w:val="00E1104D"/>
    <w:rsid w:val="00E12CEB"/>
    <w:rsid w:val="00E15CA5"/>
    <w:rsid w:val="00E21F86"/>
    <w:rsid w:val="00E22F79"/>
    <w:rsid w:val="00E267C2"/>
    <w:rsid w:val="00E32721"/>
    <w:rsid w:val="00E33FAA"/>
    <w:rsid w:val="00E42A12"/>
    <w:rsid w:val="00E43BD3"/>
    <w:rsid w:val="00E46C7A"/>
    <w:rsid w:val="00E46D50"/>
    <w:rsid w:val="00E46FD3"/>
    <w:rsid w:val="00E615E9"/>
    <w:rsid w:val="00E6413B"/>
    <w:rsid w:val="00E6533B"/>
    <w:rsid w:val="00E65A2B"/>
    <w:rsid w:val="00E6609B"/>
    <w:rsid w:val="00E67071"/>
    <w:rsid w:val="00E67935"/>
    <w:rsid w:val="00E741D5"/>
    <w:rsid w:val="00E76E5B"/>
    <w:rsid w:val="00E80F46"/>
    <w:rsid w:val="00E811EF"/>
    <w:rsid w:val="00E81281"/>
    <w:rsid w:val="00E82A45"/>
    <w:rsid w:val="00E83DB5"/>
    <w:rsid w:val="00E85767"/>
    <w:rsid w:val="00E90ADD"/>
    <w:rsid w:val="00E920C3"/>
    <w:rsid w:val="00EA37BC"/>
    <w:rsid w:val="00EA5F5F"/>
    <w:rsid w:val="00EA6916"/>
    <w:rsid w:val="00EA6D3C"/>
    <w:rsid w:val="00EB0ABF"/>
    <w:rsid w:val="00EB1886"/>
    <w:rsid w:val="00EB28B1"/>
    <w:rsid w:val="00EB6659"/>
    <w:rsid w:val="00EC0D4E"/>
    <w:rsid w:val="00EC0DE0"/>
    <w:rsid w:val="00EC35FE"/>
    <w:rsid w:val="00EC3E24"/>
    <w:rsid w:val="00ED7BF1"/>
    <w:rsid w:val="00EE0BA7"/>
    <w:rsid w:val="00EE4B77"/>
    <w:rsid w:val="00EE590C"/>
    <w:rsid w:val="00EF345D"/>
    <w:rsid w:val="00EF3B7D"/>
    <w:rsid w:val="00EF3E26"/>
    <w:rsid w:val="00F05F3D"/>
    <w:rsid w:val="00F07436"/>
    <w:rsid w:val="00F0FBE7"/>
    <w:rsid w:val="00F20DB2"/>
    <w:rsid w:val="00F23975"/>
    <w:rsid w:val="00F23BA7"/>
    <w:rsid w:val="00F24F33"/>
    <w:rsid w:val="00F32BDC"/>
    <w:rsid w:val="00F4515B"/>
    <w:rsid w:val="00F51D78"/>
    <w:rsid w:val="00F51E93"/>
    <w:rsid w:val="00F523D9"/>
    <w:rsid w:val="00F5731F"/>
    <w:rsid w:val="00F60BB3"/>
    <w:rsid w:val="00F6286D"/>
    <w:rsid w:val="00F638BC"/>
    <w:rsid w:val="00F6400B"/>
    <w:rsid w:val="00F655C1"/>
    <w:rsid w:val="00F65932"/>
    <w:rsid w:val="00F73BA0"/>
    <w:rsid w:val="00F77E28"/>
    <w:rsid w:val="00F82A0B"/>
    <w:rsid w:val="00F8505F"/>
    <w:rsid w:val="00F8618B"/>
    <w:rsid w:val="00F8688F"/>
    <w:rsid w:val="00F9017F"/>
    <w:rsid w:val="00F9577E"/>
    <w:rsid w:val="00FA0485"/>
    <w:rsid w:val="00FA1349"/>
    <w:rsid w:val="00FA4974"/>
    <w:rsid w:val="00FB1A8A"/>
    <w:rsid w:val="00FB633E"/>
    <w:rsid w:val="00FB6A58"/>
    <w:rsid w:val="00FC23BB"/>
    <w:rsid w:val="00FC2DBB"/>
    <w:rsid w:val="00FD2DCE"/>
    <w:rsid w:val="00FD3570"/>
    <w:rsid w:val="00FD3B6D"/>
    <w:rsid w:val="00FD5271"/>
    <w:rsid w:val="00FD6FCD"/>
    <w:rsid w:val="00FE35B3"/>
    <w:rsid w:val="00FE4000"/>
    <w:rsid w:val="00FE770B"/>
    <w:rsid w:val="00FF1092"/>
    <w:rsid w:val="00FF38F4"/>
    <w:rsid w:val="00FF63F9"/>
    <w:rsid w:val="012F8592"/>
    <w:rsid w:val="014AF88E"/>
    <w:rsid w:val="017BBCA4"/>
    <w:rsid w:val="01DBE621"/>
    <w:rsid w:val="01F3015C"/>
    <w:rsid w:val="028D68AA"/>
    <w:rsid w:val="028F56C9"/>
    <w:rsid w:val="02B9F9C7"/>
    <w:rsid w:val="02E8D7CC"/>
    <w:rsid w:val="038AB76E"/>
    <w:rsid w:val="038C6521"/>
    <w:rsid w:val="039B2B78"/>
    <w:rsid w:val="03DFAF10"/>
    <w:rsid w:val="03F83D2B"/>
    <w:rsid w:val="04065287"/>
    <w:rsid w:val="04384319"/>
    <w:rsid w:val="047489C2"/>
    <w:rsid w:val="0486CD62"/>
    <w:rsid w:val="04E059CA"/>
    <w:rsid w:val="053BCC06"/>
    <w:rsid w:val="05A9502C"/>
    <w:rsid w:val="06097C81"/>
    <w:rsid w:val="06228833"/>
    <w:rsid w:val="0622D17E"/>
    <w:rsid w:val="0672F941"/>
    <w:rsid w:val="06EF5B78"/>
    <w:rsid w:val="06F0BAE0"/>
    <w:rsid w:val="074A11F1"/>
    <w:rsid w:val="07684642"/>
    <w:rsid w:val="076B4A6B"/>
    <w:rsid w:val="077117D1"/>
    <w:rsid w:val="07AF496F"/>
    <w:rsid w:val="07D00E60"/>
    <w:rsid w:val="0808AA2F"/>
    <w:rsid w:val="08521AAE"/>
    <w:rsid w:val="08D91AD4"/>
    <w:rsid w:val="08F2E724"/>
    <w:rsid w:val="091D72BD"/>
    <w:rsid w:val="092C63A9"/>
    <w:rsid w:val="09401751"/>
    <w:rsid w:val="0942E0E3"/>
    <w:rsid w:val="0972C0EF"/>
    <w:rsid w:val="098BB324"/>
    <w:rsid w:val="098CA8F3"/>
    <w:rsid w:val="09BDE31C"/>
    <w:rsid w:val="09D0211C"/>
    <w:rsid w:val="09E255D0"/>
    <w:rsid w:val="09E622E4"/>
    <w:rsid w:val="0A23A7B6"/>
    <w:rsid w:val="0A2A9FC8"/>
    <w:rsid w:val="0A4CE56C"/>
    <w:rsid w:val="0A71338D"/>
    <w:rsid w:val="0A903DE6"/>
    <w:rsid w:val="0AB2A648"/>
    <w:rsid w:val="0AE3EF1D"/>
    <w:rsid w:val="0AECC735"/>
    <w:rsid w:val="0B1CAF70"/>
    <w:rsid w:val="0B563931"/>
    <w:rsid w:val="0B72981E"/>
    <w:rsid w:val="0B746174"/>
    <w:rsid w:val="0BDBD08E"/>
    <w:rsid w:val="0C070FB0"/>
    <w:rsid w:val="0C16D484"/>
    <w:rsid w:val="0C33B01F"/>
    <w:rsid w:val="0C3B19CA"/>
    <w:rsid w:val="0CE09E13"/>
    <w:rsid w:val="0D39B0AB"/>
    <w:rsid w:val="0D5FC25C"/>
    <w:rsid w:val="0D6B1498"/>
    <w:rsid w:val="0D879130"/>
    <w:rsid w:val="0D94BC9E"/>
    <w:rsid w:val="0D99E3AB"/>
    <w:rsid w:val="0DA199FF"/>
    <w:rsid w:val="0DA9F8EF"/>
    <w:rsid w:val="0DF44188"/>
    <w:rsid w:val="0DF4F237"/>
    <w:rsid w:val="0EFEBBA7"/>
    <w:rsid w:val="0F586BEF"/>
    <w:rsid w:val="0FCDD760"/>
    <w:rsid w:val="103FEAB1"/>
    <w:rsid w:val="108C4401"/>
    <w:rsid w:val="10D8880E"/>
    <w:rsid w:val="111D0D24"/>
    <w:rsid w:val="11734694"/>
    <w:rsid w:val="11A4027F"/>
    <w:rsid w:val="11D0F5D1"/>
    <w:rsid w:val="11D51C9B"/>
    <w:rsid w:val="11EF308D"/>
    <w:rsid w:val="11FE7C06"/>
    <w:rsid w:val="12166A68"/>
    <w:rsid w:val="12173206"/>
    <w:rsid w:val="1223EC5F"/>
    <w:rsid w:val="1261F364"/>
    <w:rsid w:val="126B531F"/>
    <w:rsid w:val="12721C71"/>
    <w:rsid w:val="12CC7E8A"/>
    <w:rsid w:val="12D62879"/>
    <w:rsid w:val="136465D6"/>
    <w:rsid w:val="13725CE5"/>
    <w:rsid w:val="1393E6C1"/>
    <w:rsid w:val="13DAFA04"/>
    <w:rsid w:val="13E61292"/>
    <w:rsid w:val="13F29B38"/>
    <w:rsid w:val="13F7A98B"/>
    <w:rsid w:val="14113BAD"/>
    <w:rsid w:val="148CFD1F"/>
    <w:rsid w:val="1511A405"/>
    <w:rsid w:val="1529B8D7"/>
    <w:rsid w:val="158A2AB0"/>
    <w:rsid w:val="15B7E9DA"/>
    <w:rsid w:val="1619CECE"/>
    <w:rsid w:val="163BD04B"/>
    <w:rsid w:val="16619767"/>
    <w:rsid w:val="1664647E"/>
    <w:rsid w:val="168A32B4"/>
    <w:rsid w:val="16FB7A90"/>
    <w:rsid w:val="1705F13C"/>
    <w:rsid w:val="17335B9C"/>
    <w:rsid w:val="17629832"/>
    <w:rsid w:val="17963DBA"/>
    <w:rsid w:val="17E15B9B"/>
    <w:rsid w:val="17F0F7E2"/>
    <w:rsid w:val="1845966D"/>
    <w:rsid w:val="1854E0C4"/>
    <w:rsid w:val="1869C6FF"/>
    <w:rsid w:val="189EA8D8"/>
    <w:rsid w:val="18F50CE5"/>
    <w:rsid w:val="1912F70B"/>
    <w:rsid w:val="191320BC"/>
    <w:rsid w:val="197A9CA0"/>
    <w:rsid w:val="197D15DD"/>
    <w:rsid w:val="1999AD98"/>
    <w:rsid w:val="199D6D75"/>
    <w:rsid w:val="19BAD3EC"/>
    <w:rsid w:val="1A15237E"/>
    <w:rsid w:val="1A435B94"/>
    <w:rsid w:val="1A979DAC"/>
    <w:rsid w:val="1AA928E3"/>
    <w:rsid w:val="1AC43A6D"/>
    <w:rsid w:val="1B0260AA"/>
    <w:rsid w:val="1B5F8B48"/>
    <w:rsid w:val="1B70CB14"/>
    <w:rsid w:val="1BB27017"/>
    <w:rsid w:val="1BB3BE0D"/>
    <w:rsid w:val="1BD978A4"/>
    <w:rsid w:val="1BFEE380"/>
    <w:rsid w:val="1C5CFE8F"/>
    <w:rsid w:val="1C77062F"/>
    <w:rsid w:val="1C8B6E05"/>
    <w:rsid w:val="1CA3AAA8"/>
    <w:rsid w:val="1CAA80E8"/>
    <w:rsid w:val="1CCE0403"/>
    <w:rsid w:val="1CD1C3E7"/>
    <w:rsid w:val="1D1906E9"/>
    <w:rsid w:val="1DB8B3C4"/>
    <w:rsid w:val="1DC34FA9"/>
    <w:rsid w:val="1EAA6A6D"/>
    <w:rsid w:val="1EDD53C3"/>
    <w:rsid w:val="1EF3F5D0"/>
    <w:rsid w:val="1F068C75"/>
    <w:rsid w:val="1F226A7F"/>
    <w:rsid w:val="1F2E1AD4"/>
    <w:rsid w:val="1F44DC4F"/>
    <w:rsid w:val="1F5E92AC"/>
    <w:rsid w:val="1F7F54A3"/>
    <w:rsid w:val="1FD1876F"/>
    <w:rsid w:val="1FED7BE1"/>
    <w:rsid w:val="2029BE8B"/>
    <w:rsid w:val="20406AFC"/>
    <w:rsid w:val="2055C311"/>
    <w:rsid w:val="20772DEC"/>
    <w:rsid w:val="20C880BB"/>
    <w:rsid w:val="21A5DAC5"/>
    <w:rsid w:val="21A92D49"/>
    <w:rsid w:val="21B10FD0"/>
    <w:rsid w:val="227AB71A"/>
    <w:rsid w:val="228CC42C"/>
    <w:rsid w:val="22CC67A5"/>
    <w:rsid w:val="22EB0D21"/>
    <w:rsid w:val="2313D9CE"/>
    <w:rsid w:val="2319A7C9"/>
    <w:rsid w:val="2335F948"/>
    <w:rsid w:val="236A03EA"/>
    <w:rsid w:val="23789AB5"/>
    <w:rsid w:val="237CD2D6"/>
    <w:rsid w:val="23EE3FC8"/>
    <w:rsid w:val="2405A836"/>
    <w:rsid w:val="2408F2C7"/>
    <w:rsid w:val="240AD336"/>
    <w:rsid w:val="24231564"/>
    <w:rsid w:val="244AA6FA"/>
    <w:rsid w:val="2460CF11"/>
    <w:rsid w:val="248F41AD"/>
    <w:rsid w:val="253B526C"/>
    <w:rsid w:val="254D7B44"/>
    <w:rsid w:val="2579F69B"/>
    <w:rsid w:val="25BD4526"/>
    <w:rsid w:val="25CA8FF7"/>
    <w:rsid w:val="25D25BB5"/>
    <w:rsid w:val="25FB8FC2"/>
    <w:rsid w:val="26449840"/>
    <w:rsid w:val="26A37A6A"/>
    <w:rsid w:val="26C00555"/>
    <w:rsid w:val="27032692"/>
    <w:rsid w:val="273442DD"/>
    <w:rsid w:val="27CFE5C0"/>
    <w:rsid w:val="27DCB8A9"/>
    <w:rsid w:val="27DDD4E6"/>
    <w:rsid w:val="281268A0"/>
    <w:rsid w:val="283674AD"/>
    <w:rsid w:val="284834AA"/>
    <w:rsid w:val="28AB5615"/>
    <w:rsid w:val="28B36D33"/>
    <w:rsid w:val="28F0DC12"/>
    <w:rsid w:val="2933D1A1"/>
    <w:rsid w:val="299C0549"/>
    <w:rsid w:val="29CB2E05"/>
    <w:rsid w:val="29CDD9CD"/>
    <w:rsid w:val="29ECFE54"/>
    <w:rsid w:val="2A3D0187"/>
    <w:rsid w:val="2A7895EB"/>
    <w:rsid w:val="2AD46D7F"/>
    <w:rsid w:val="2B00B813"/>
    <w:rsid w:val="2B7DEC75"/>
    <w:rsid w:val="2BA48203"/>
    <w:rsid w:val="2BC0EE9C"/>
    <w:rsid w:val="2BC1FB1E"/>
    <w:rsid w:val="2C05BC6B"/>
    <w:rsid w:val="2C060308"/>
    <w:rsid w:val="2C49333B"/>
    <w:rsid w:val="2C701456"/>
    <w:rsid w:val="2C84D99F"/>
    <w:rsid w:val="2CC4E8D4"/>
    <w:rsid w:val="2CC5BFA3"/>
    <w:rsid w:val="2CCE87C2"/>
    <w:rsid w:val="2D00EBD3"/>
    <w:rsid w:val="2D485EF1"/>
    <w:rsid w:val="2D5DC6F7"/>
    <w:rsid w:val="2D79DC5A"/>
    <w:rsid w:val="2E4CF7A4"/>
    <w:rsid w:val="2E6C74D4"/>
    <w:rsid w:val="2E6D061D"/>
    <w:rsid w:val="2E732738"/>
    <w:rsid w:val="2E736DA5"/>
    <w:rsid w:val="2EF2E988"/>
    <w:rsid w:val="2F46337B"/>
    <w:rsid w:val="2F535B2F"/>
    <w:rsid w:val="2F90BD38"/>
    <w:rsid w:val="2F98FE13"/>
    <w:rsid w:val="2F9F10ED"/>
    <w:rsid w:val="2FCD3D70"/>
    <w:rsid w:val="2FF83912"/>
    <w:rsid w:val="3055786F"/>
    <w:rsid w:val="30C06E26"/>
    <w:rsid w:val="30D30CE8"/>
    <w:rsid w:val="30DAD1EB"/>
    <w:rsid w:val="313CA006"/>
    <w:rsid w:val="31434C0A"/>
    <w:rsid w:val="31952450"/>
    <w:rsid w:val="31C7A327"/>
    <w:rsid w:val="31EF0155"/>
    <w:rsid w:val="321E17A8"/>
    <w:rsid w:val="324E4208"/>
    <w:rsid w:val="328C922B"/>
    <w:rsid w:val="32B97255"/>
    <w:rsid w:val="3312B422"/>
    <w:rsid w:val="331C2833"/>
    <w:rsid w:val="336B51F0"/>
    <w:rsid w:val="33A44517"/>
    <w:rsid w:val="345D0130"/>
    <w:rsid w:val="34838C66"/>
    <w:rsid w:val="34BBF7EA"/>
    <w:rsid w:val="34CE3918"/>
    <w:rsid w:val="34EFB12E"/>
    <w:rsid w:val="34FF6CD9"/>
    <w:rsid w:val="356A5735"/>
    <w:rsid w:val="3593DF49"/>
    <w:rsid w:val="35A733C3"/>
    <w:rsid w:val="35D2C955"/>
    <w:rsid w:val="35E84FAC"/>
    <w:rsid w:val="35FF6CDE"/>
    <w:rsid w:val="36455116"/>
    <w:rsid w:val="3656687E"/>
    <w:rsid w:val="3659C5D1"/>
    <w:rsid w:val="36909196"/>
    <w:rsid w:val="369D2223"/>
    <w:rsid w:val="36EAE17B"/>
    <w:rsid w:val="36F50864"/>
    <w:rsid w:val="3703D314"/>
    <w:rsid w:val="37369B60"/>
    <w:rsid w:val="37BF37B3"/>
    <w:rsid w:val="37E5018F"/>
    <w:rsid w:val="37EC20A7"/>
    <w:rsid w:val="38236626"/>
    <w:rsid w:val="38381894"/>
    <w:rsid w:val="383970D9"/>
    <w:rsid w:val="384CD178"/>
    <w:rsid w:val="384EA874"/>
    <w:rsid w:val="384F1EA7"/>
    <w:rsid w:val="38C8DBF5"/>
    <w:rsid w:val="38C9C498"/>
    <w:rsid w:val="38F6CC07"/>
    <w:rsid w:val="393467C1"/>
    <w:rsid w:val="397EFA75"/>
    <w:rsid w:val="399C15B2"/>
    <w:rsid w:val="3A8D31BA"/>
    <w:rsid w:val="3AA97CD9"/>
    <w:rsid w:val="3AC4B0C9"/>
    <w:rsid w:val="3B0FF61A"/>
    <w:rsid w:val="3B391567"/>
    <w:rsid w:val="3B4F1971"/>
    <w:rsid w:val="3B524DE7"/>
    <w:rsid w:val="3B61AEC0"/>
    <w:rsid w:val="3B701598"/>
    <w:rsid w:val="3BD2EF67"/>
    <w:rsid w:val="3D30CB54"/>
    <w:rsid w:val="3D362F52"/>
    <w:rsid w:val="3D65350A"/>
    <w:rsid w:val="3D6C548E"/>
    <w:rsid w:val="3D9C4677"/>
    <w:rsid w:val="3DC125F1"/>
    <w:rsid w:val="3DD4724A"/>
    <w:rsid w:val="3DDB4FBC"/>
    <w:rsid w:val="3DE56A14"/>
    <w:rsid w:val="3DE7820A"/>
    <w:rsid w:val="3E2B394B"/>
    <w:rsid w:val="3E35255F"/>
    <w:rsid w:val="3E6011DD"/>
    <w:rsid w:val="3E6B286B"/>
    <w:rsid w:val="3E8347E7"/>
    <w:rsid w:val="3E88C06D"/>
    <w:rsid w:val="3EB94C77"/>
    <w:rsid w:val="3EC27965"/>
    <w:rsid w:val="3EEF2A7E"/>
    <w:rsid w:val="3F030F35"/>
    <w:rsid w:val="3F0C8998"/>
    <w:rsid w:val="3F3D3451"/>
    <w:rsid w:val="3F579647"/>
    <w:rsid w:val="40111249"/>
    <w:rsid w:val="403F130F"/>
    <w:rsid w:val="4060C90D"/>
    <w:rsid w:val="406EAF04"/>
    <w:rsid w:val="409493C9"/>
    <w:rsid w:val="40A33A78"/>
    <w:rsid w:val="40A397A4"/>
    <w:rsid w:val="40C659AC"/>
    <w:rsid w:val="40C6DCF2"/>
    <w:rsid w:val="40E80430"/>
    <w:rsid w:val="4143FF4B"/>
    <w:rsid w:val="4156578C"/>
    <w:rsid w:val="417413B3"/>
    <w:rsid w:val="4191AD47"/>
    <w:rsid w:val="419454A6"/>
    <w:rsid w:val="419586B7"/>
    <w:rsid w:val="41FDEEA3"/>
    <w:rsid w:val="42181980"/>
    <w:rsid w:val="421CC56A"/>
    <w:rsid w:val="42262CB2"/>
    <w:rsid w:val="424C7C79"/>
    <w:rsid w:val="42653ED1"/>
    <w:rsid w:val="4283FF0E"/>
    <w:rsid w:val="428DCE35"/>
    <w:rsid w:val="42DA7DD0"/>
    <w:rsid w:val="42DFF193"/>
    <w:rsid w:val="4302FB35"/>
    <w:rsid w:val="43351D98"/>
    <w:rsid w:val="43442D11"/>
    <w:rsid w:val="436ACE96"/>
    <w:rsid w:val="436B0541"/>
    <w:rsid w:val="43C9DBF5"/>
    <w:rsid w:val="442B39C8"/>
    <w:rsid w:val="443D614A"/>
    <w:rsid w:val="44E77FEF"/>
    <w:rsid w:val="44EAD2A7"/>
    <w:rsid w:val="4501F5A5"/>
    <w:rsid w:val="451AE341"/>
    <w:rsid w:val="4592071E"/>
    <w:rsid w:val="45A5CA6F"/>
    <w:rsid w:val="45F65608"/>
    <w:rsid w:val="468C32A9"/>
    <w:rsid w:val="46A69684"/>
    <w:rsid w:val="46ACC337"/>
    <w:rsid w:val="475345B3"/>
    <w:rsid w:val="4762A3EE"/>
    <w:rsid w:val="47CFC908"/>
    <w:rsid w:val="47ECD8F0"/>
    <w:rsid w:val="48206E0A"/>
    <w:rsid w:val="483E0B86"/>
    <w:rsid w:val="483F0DFE"/>
    <w:rsid w:val="4840FBDC"/>
    <w:rsid w:val="48647052"/>
    <w:rsid w:val="48A9F7F6"/>
    <w:rsid w:val="48C1464C"/>
    <w:rsid w:val="48C5252F"/>
    <w:rsid w:val="48CA426C"/>
    <w:rsid w:val="48DD2AE4"/>
    <w:rsid w:val="48F9C5AA"/>
    <w:rsid w:val="49134351"/>
    <w:rsid w:val="494D4ED4"/>
    <w:rsid w:val="4971B09F"/>
    <w:rsid w:val="49769F03"/>
    <w:rsid w:val="49948AC0"/>
    <w:rsid w:val="49D64EE8"/>
    <w:rsid w:val="49F9703C"/>
    <w:rsid w:val="4A001031"/>
    <w:rsid w:val="4A477193"/>
    <w:rsid w:val="4A55EEFB"/>
    <w:rsid w:val="4A8CD227"/>
    <w:rsid w:val="4AE709F8"/>
    <w:rsid w:val="4AEFD75F"/>
    <w:rsid w:val="4B580ECC"/>
    <w:rsid w:val="4B5E90A6"/>
    <w:rsid w:val="4B5EA2F8"/>
    <w:rsid w:val="4B6574E3"/>
    <w:rsid w:val="4B75DFF9"/>
    <w:rsid w:val="4C172BB6"/>
    <w:rsid w:val="4C1A699F"/>
    <w:rsid w:val="4C2D4D47"/>
    <w:rsid w:val="4CB085F3"/>
    <w:rsid w:val="4CECFD0A"/>
    <w:rsid w:val="4D3F6ED4"/>
    <w:rsid w:val="4D576A2F"/>
    <w:rsid w:val="4D9A9663"/>
    <w:rsid w:val="4E22CD55"/>
    <w:rsid w:val="4E3EA431"/>
    <w:rsid w:val="4E57BBE1"/>
    <w:rsid w:val="4E627CB3"/>
    <w:rsid w:val="4E6CC3A1"/>
    <w:rsid w:val="4E74ED59"/>
    <w:rsid w:val="4EB3803E"/>
    <w:rsid w:val="4EE0AAD1"/>
    <w:rsid w:val="4F0B7E1A"/>
    <w:rsid w:val="4FAEFE0D"/>
    <w:rsid w:val="4FE80552"/>
    <w:rsid w:val="5025B244"/>
    <w:rsid w:val="502D1547"/>
    <w:rsid w:val="508AAE36"/>
    <w:rsid w:val="50AC634F"/>
    <w:rsid w:val="50B6AEB2"/>
    <w:rsid w:val="512DA6DD"/>
    <w:rsid w:val="513266DB"/>
    <w:rsid w:val="513D8B6E"/>
    <w:rsid w:val="514405F3"/>
    <w:rsid w:val="51518342"/>
    <w:rsid w:val="51A77DBB"/>
    <w:rsid w:val="51AB4D00"/>
    <w:rsid w:val="51DD733B"/>
    <w:rsid w:val="5248F6FF"/>
    <w:rsid w:val="52813CC3"/>
    <w:rsid w:val="52920CB5"/>
    <w:rsid w:val="52FEB7B0"/>
    <w:rsid w:val="53395B07"/>
    <w:rsid w:val="53801C3F"/>
    <w:rsid w:val="53E65ABF"/>
    <w:rsid w:val="5424A19D"/>
    <w:rsid w:val="5450336B"/>
    <w:rsid w:val="548F52A0"/>
    <w:rsid w:val="54A8F7B6"/>
    <w:rsid w:val="54E13233"/>
    <w:rsid w:val="54E3FE8F"/>
    <w:rsid w:val="54E98E1C"/>
    <w:rsid w:val="54FEF497"/>
    <w:rsid w:val="554EBBA7"/>
    <w:rsid w:val="5584CD36"/>
    <w:rsid w:val="559AFBAC"/>
    <w:rsid w:val="55CD812D"/>
    <w:rsid w:val="5610B0E7"/>
    <w:rsid w:val="56886A73"/>
    <w:rsid w:val="56A2D6A2"/>
    <w:rsid w:val="56A5129D"/>
    <w:rsid w:val="56A82C9B"/>
    <w:rsid w:val="56B383EA"/>
    <w:rsid w:val="56F5E98D"/>
    <w:rsid w:val="57514A67"/>
    <w:rsid w:val="57D50F81"/>
    <w:rsid w:val="584B40BA"/>
    <w:rsid w:val="586B9FCB"/>
    <w:rsid w:val="58797361"/>
    <w:rsid w:val="589019E5"/>
    <w:rsid w:val="5890D215"/>
    <w:rsid w:val="58993DF6"/>
    <w:rsid w:val="58A8D1F5"/>
    <w:rsid w:val="58C5D45C"/>
    <w:rsid w:val="58CFE6FC"/>
    <w:rsid w:val="5903800C"/>
    <w:rsid w:val="590A520F"/>
    <w:rsid w:val="5973F30E"/>
    <w:rsid w:val="59860FE1"/>
    <w:rsid w:val="59F43C8C"/>
    <w:rsid w:val="5A6D9231"/>
    <w:rsid w:val="5A721FC4"/>
    <w:rsid w:val="5AA1794C"/>
    <w:rsid w:val="5AAB68D3"/>
    <w:rsid w:val="5BED5E3F"/>
    <w:rsid w:val="5C53F9F7"/>
    <w:rsid w:val="5C5B6959"/>
    <w:rsid w:val="5D00A90A"/>
    <w:rsid w:val="5D320DCC"/>
    <w:rsid w:val="5D47B24B"/>
    <w:rsid w:val="5D4A0E45"/>
    <w:rsid w:val="5D6E7CC7"/>
    <w:rsid w:val="5DDFD5A8"/>
    <w:rsid w:val="5EC9D322"/>
    <w:rsid w:val="5EE0FE0F"/>
    <w:rsid w:val="5F000F92"/>
    <w:rsid w:val="5F5244A7"/>
    <w:rsid w:val="5F7E2081"/>
    <w:rsid w:val="5F9944CA"/>
    <w:rsid w:val="5FA46FFA"/>
    <w:rsid w:val="5FCF6EEE"/>
    <w:rsid w:val="5FD1994E"/>
    <w:rsid w:val="5FD200E6"/>
    <w:rsid w:val="608F0F12"/>
    <w:rsid w:val="609BE22C"/>
    <w:rsid w:val="60AFD32E"/>
    <w:rsid w:val="612288CD"/>
    <w:rsid w:val="61480C42"/>
    <w:rsid w:val="616887C9"/>
    <w:rsid w:val="6178D61B"/>
    <w:rsid w:val="61873E60"/>
    <w:rsid w:val="61D3FE5B"/>
    <w:rsid w:val="61E6ADE4"/>
    <w:rsid w:val="61F16D28"/>
    <w:rsid w:val="620079B7"/>
    <w:rsid w:val="621F49D5"/>
    <w:rsid w:val="622DD5D2"/>
    <w:rsid w:val="62349463"/>
    <w:rsid w:val="626CF300"/>
    <w:rsid w:val="626EB611"/>
    <w:rsid w:val="627D5117"/>
    <w:rsid w:val="62CF4F16"/>
    <w:rsid w:val="62F52120"/>
    <w:rsid w:val="62F732D2"/>
    <w:rsid w:val="630E89AC"/>
    <w:rsid w:val="631042C6"/>
    <w:rsid w:val="632E76F7"/>
    <w:rsid w:val="637BBDC4"/>
    <w:rsid w:val="6386F342"/>
    <w:rsid w:val="63B82C02"/>
    <w:rsid w:val="63D68E94"/>
    <w:rsid w:val="64204531"/>
    <w:rsid w:val="644779D2"/>
    <w:rsid w:val="645B0D55"/>
    <w:rsid w:val="656740B7"/>
    <w:rsid w:val="65897996"/>
    <w:rsid w:val="664DC7DF"/>
    <w:rsid w:val="66EEA592"/>
    <w:rsid w:val="66F7298F"/>
    <w:rsid w:val="67121908"/>
    <w:rsid w:val="672A70CC"/>
    <w:rsid w:val="674354D5"/>
    <w:rsid w:val="6801FC5B"/>
    <w:rsid w:val="68038E59"/>
    <w:rsid w:val="6804E9BA"/>
    <w:rsid w:val="682C0570"/>
    <w:rsid w:val="682D718C"/>
    <w:rsid w:val="6839EA80"/>
    <w:rsid w:val="6871D6A7"/>
    <w:rsid w:val="6886C0D5"/>
    <w:rsid w:val="689D2EE0"/>
    <w:rsid w:val="68FBE534"/>
    <w:rsid w:val="693CE91B"/>
    <w:rsid w:val="698FA24A"/>
    <w:rsid w:val="69959396"/>
    <w:rsid w:val="69AEFF81"/>
    <w:rsid w:val="69C7C3D5"/>
    <w:rsid w:val="6A32FCA6"/>
    <w:rsid w:val="6A4186E1"/>
    <w:rsid w:val="6A8FD60C"/>
    <w:rsid w:val="6AE45AF5"/>
    <w:rsid w:val="6AEDBF0C"/>
    <w:rsid w:val="6B1B5F0F"/>
    <w:rsid w:val="6B31A67A"/>
    <w:rsid w:val="6B3724D4"/>
    <w:rsid w:val="6B4C4E72"/>
    <w:rsid w:val="6B75AC39"/>
    <w:rsid w:val="6BD6EBEE"/>
    <w:rsid w:val="6BEA1C94"/>
    <w:rsid w:val="6BF39A7A"/>
    <w:rsid w:val="6C068BB4"/>
    <w:rsid w:val="6C54F5AC"/>
    <w:rsid w:val="6C8CF3BB"/>
    <w:rsid w:val="6D2621FF"/>
    <w:rsid w:val="6D4F6608"/>
    <w:rsid w:val="6D5659AB"/>
    <w:rsid w:val="6D808ED0"/>
    <w:rsid w:val="6DB7AF96"/>
    <w:rsid w:val="6DFDF74E"/>
    <w:rsid w:val="6E467898"/>
    <w:rsid w:val="6E70561E"/>
    <w:rsid w:val="6E9FD81F"/>
    <w:rsid w:val="6EC4705E"/>
    <w:rsid w:val="6ECEC53C"/>
    <w:rsid w:val="6EE04446"/>
    <w:rsid w:val="6EEFF3F0"/>
    <w:rsid w:val="6F54E6EB"/>
    <w:rsid w:val="6F76B63D"/>
    <w:rsid w:val="6FCBC945"/>
    <w:rsid w:val="70275387"/>
    <w:rsid w:val="7029396C"/>
    <w:rsid w:val="70347FA1"/>
    <w:rsid w:val="70435F1C"/>
    <w:rsid w:val="70B1A098"/>
    <w:rsid w:val="70F45928"/>
    <w:rsid w:val="7114A6AA"/>
    <w:rsid w:val="715F60DD"/>
    <w:rsid w:val="71B5F2E9"/>
    <w:rsid w:val="71CA979C"/>
    <w:rsid w:val="72061E07"/>
    <w:rsid w:val="72187617"/>
    <w:rsid w:val="72487518"/>
    <w:rsid w:val="7288FDE2"/>
    <w:rsid w:val="72B11CD3"/>
    <w:rsid w:val="72BF054F"/>
    <w:rsid w:val="72C4D88D"/>
    <w:rsid w:val="735D8BA5"/>
    <w:rsid w:val="7383D707"/>
    <w:rsid w:val="73E30EA6"/>
    <w:rsid w:val="73F1C017"/>
    <w:rsid w:val="7460A8EE"/>
    <w:rsid w:val="749CE0C0"/>
    <w:rsid w:val="74AB4226"/>
    <w:rsid w:val="74AE1E89"/>
    <w:rsid w:val="74B79B48"/>
    <w:rsid w:val="750159EE"/>
    <w:rsid w:val="75AA7B3E"/>
    <w:rsid w:val="75DC0468"/>
    <w:rsid w:val="75FA69BC"/>
    <w:rsid w:val="760DED58"/>
    <w:rsid w:val="762A6BDE"/>
    <w:rsid w:val="763FE93E"/>
    <w:rsid w:val="766D8A9F"/>
    <w:rsid w:val="76757CEB"/>
    <w:rsid w:val="767E42A1"/>
    <w:rsid w:val="76B542E5"/>
    <w:rsid w:val="7718B056"/>
    <w:rsid w:val="771F8A1D"/>
    <w:rsid w:val="7738DA77"/>
    <w:rsid w:val="776AF980"/>
    <w:rsid w:val="779849B0"/>
    <w:rsid w:val="77E2F3AF"/>
    <w:rsid w:val="78380AED"/>
    <w:rsid w:val="795F48E8"/>
    <w:rsid w:val="799E3E16"/>
    <w:rsid w:val="79A9D461"/>
    <w:rsid w:val="7A4439A1"/>
    <w:rsid w:val="7A6C7179"/>
    <w:rsid w:val="7A7C80BB"/>
    <w:rsid w:val="7A94EF27"/>
    <w:rsid w:val="7AA4FF74"/>
    <w:rsid w:val="7B582C31"/>
    <w:rsid w:val="7B87CB78"/>
    <w:rsid w:val="7BF6CBC9"/>
    <w:rsid w:val="7C0D232B"/>
    <w:rsid w:val="7C18C573"/>
    <w:rsid w:val="7C5096EB"/>
    <w:rsid w:val="7C5BD3EE"/>
    <w:rsid w:val="7C63D9E9"/>
    <w:rsid w:val="7C6ADEEF"/>
    <w:rsid w:val="7C9297BA"/>
    <w:rsid w:val="7D29889B"/>
    <w:rsid w:val="7DAEED68"/>
    <w:rsid w:val="7E00433A"/>
    <w:rsid w:val="7E16F3D1"/>
    <w:rsid w:val="7E61DB10"/>
    <w:rsid w:val="7E6E6E55"/>
    <w:rsid w:val="7EBC6EEE"/>
    <w:rsid w:val="7EC421A2"/>
    <w:rsid w:val="7EC9EE22"/>
    <w:rsid w:val="7EF7C089"/>
    <w:rsid w:val="7F4C7AD4"/>
    <w:rsid w:val="7F9623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C4816"/>
  <w15:chartTrackingRefBased/>
  <w15:docId w15:val="{7D3C2185-8203-4B21-9F61-A448F141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6097C81"/>
    <w:rPr>
      <w:lang w:val="en-NZ"/>
    </w:rPr>
  </w:style>
  <w:style w:type="paragraph" w:styleId="Heading1">
    <w:name w:val="heading 1"/>
    <w:basedOn w:val="Normal"/>
    <w:next w:val="Normal"/>
    <w:link w:val="Heading1Char"/>
    <w:uiPriority w:val="9"/>
    <w:qFormat/>
    <w:rsid w:val="06097C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6097C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6097C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6097C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6097C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6097C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6097C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6097C81"/>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06097C81"/>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B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57B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57B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7B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7B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7B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7B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7B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7B19"/>
    <w:rPr>
      <w:rFonts w:eastAsiaTheme="majorEastAsia" w:cstheme="majorBidi"/>
      <w:color w:val="272727" w:themeColor="text1" w:themeTint="D8"/>
    </w:rPr>
  </w:style>
  <w:style w:type="paragraph" w:styleId="Title">
    <w:name w:val="Title"/>
    <w:basedOn w:val="Normal"/>
    <w:next w:val="Normal"/>
    <w:link w:val="TitleChar"/>
    <w:uiPriority w:val="10"/>
    <w:qFormat/>
    <w:rsid w:val="06097C81"/>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457B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6097C81"/>
    <w:pPr>
      <w:spacing w:after="160"/>
    </w:pPr>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457B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6097C8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7B19"/>
    <w:rPr>
      <w:i/>
      <w:iCs/>
      <w:color w:val="404040" w:themeColor="text1" w:themeTint="BF"/>
    </w:rPr>
  </w:style>
  <w:style w:type="paragraph" w:styleId="ListParagraph">
    <w:name w:val="List Paragraph"/>
    <w:basedOn w:val="Normal"/>
    <w:uiPriority w:val="34"/>
    <w:qFormat/>
    <w:rsid w:val="06097C81"/>
    <w:pPr>
      <w:ind w:left="720"/>
      <w:contextualSpacing/>
    </w:pPr>
  </w:style>
  <w:style w:type="character" w:styleId="IntenseEmphasis">
    <w:name w:val="Intense Emphasis"/>
    <w:basedOn w:val="DefaultParagraphFont"/>
    <w:uiPriority w:val="21"/>
    <w:qFormat/>
    <w:rsid w:val="00457B19"/>
    <w:rPr>
      <w:i/>
      <w:iCs/>
      <w:color w:val="0F4761" w:themeColor="accent1" w:themeShade="BF"/>
    </w:rPr>
  </w:style>
  <w:style w:type="paragraph" w:styleId="IntenseQuote">
    <w:name w:val="Intense Quote"/>
    <w:basedOn w:val="Normal"/>
    <w:next w:val="Normal"/>
    <w:link w:val="IntenseQuoteChar"/>
    <w:uiPriority w:val="30"/>
    <w:qFormat/>
    <w:rsid w:val="06097C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7B19"/>
    <w:rPr>
      <w:i/>
      <w:iCs/>
      <w:color w:val="0F4761" w:themeColor="accent1" w:themeShade="BF"/>
    </w:rPr>
  </w:style>
  <w:style w:type="character" w:styleId="IntenseReference">
    <w:name w:val="Intense Reference"/>
    <w:basedOn w:val="DefaultParagraphFont"/>
    <w:uiPriority w:val="32"/>
    <w:qFormat/>
    <w:rsid w:val="00457B19"/>
    <w:rPr>
      <w:b/>
      <w:bCs/>
      <w:smallCaps/>
      <w:color w:val="0F4761" w:themeColor="accent1" w:themeShade="BF"/>
      <w:spacing w:val="5"/>
    </w:rPr>
  </w:style>
  <w:style w:type="paragraph" w:styleId="Footer">
    <w:name w:val="footer"/>
    <w:basedOn w:val="Normal"/>
    <w:link w:val="FooterChar"/>
    <w:uiPriority w:val="99"/>
    <w:unhideWhenUsed/>
    <w:rsid w:val="06097C81"/>
    <w:pPr>
      <w:tabs>
        <w:tab w:val="center" w:pos="4680"/>
        <w:tab w:val="right" w:pos="9360"/>
      </w:tabs>
    </w:pPr>
  </w:style>
  <w:style w:type="character" w:customStyle="1" w:styleId="FooterChar">
    <w:name w:val="Footer Char"/>
    <w:basedOn w:val="DefaultParagraphFont"/>
    <w:link w:val="Footer"/>
    <w:uiPriority w:val="99"/>
    <w:rsid w:val="00733701"/>
  </w:style>
  <w:style w:type="character" w:styleId="PageNumber">
    <w:name w:val="page number"/>
    <w:basedOn w:val="DefaultParagraphFont"/>
    <w:uiPriority w:val="99"/>
    <w:semiHidden/>
    <w:unhideWhenUsed/>
    <w:rsid w:val="00733701"/>
  </w:style>
  <w:style w:type="paragraph" w:styleId="NormalWeb">
    <w:name w:val="Normal (Web)"/>
    <w:basedOn w:val="Normal"/>
    <w:uiPriority w:val="99"/>
    <w:semiHidden/>
    <w:unhideWhenUsed/>
    <w:rsid w:val="06097C81"/>
    <w:pPr>
      <w:spacing w:beforeAutospacing="1" w:afterAutospacing="1"/>
    </w:pPr>
    <w:rPr>
      <w:rFonts w:ascii="Times New Roman" w:eastAsia="Times New Roman" w:hAnsi="Times New Roman" w:cs="Times New Roman"/>
    </w:rPr>
  </w:style>
  <w:style w:type="character" w:styleId="Strong">
    <w:name w:val="Strong"/>
    <w:basedOn w:val="DefaultParagraphFont"/>
    <w:uiPriority w:val="22"/>
    <w:qFormat/>
    <w:rsid w:val="007C5D69"/>
    <w:rPr>
      <w:b/>
      <w:bCs/>
    </w:rPr>
  </w:style>
  <w:style w:type="character" w:styleId="Hyperlink">
    <w:name w:val="Hyperlink"/>
    <w:basedOn w:val="DefaultParagraphFont"/>
    <w:uiPriority w:val="99"/>
    <w:unhideWhenUsed/>
    <w:rsid w:val="00214082"/>
    <w:rPr>
      <w:color w:val="467886" w:themeColor="hyperlink"/>
      <w:u w:val="single"/>
    </w:rPr>
  </w:style>
  <w:style w:type="character" w:styleId="UnresolvedMention">
    <w:name w:val="Unresolved Mention"/>
    <w:basedOn w:val="DefaultParagraphFont"/>
    <w:uiPriority w:val="99"/>
    <w:semiHidden/>
    <w:unhideWhenUsed/>
    <w:rsid w:val="00214082"/>
    <w:rPr>
      <w:color w:val="605E5C"/>
      <w:shd w:val="clear" w:color="auto" w:fill="E1DFDD"/>
    </w:rPr>
  </w:style>
  <w:style w:type="paragraph" w:styleId="Revision">
    <w:name w:val="Revision"/>
    <w:hidden/>
    <w:uiPriority w:val="99"/>
    <w:semiHidden/>
    <w:rsid w:val="000A0D44"/>
  </w:style>
  <w:style w:type="paragraph" w:styleId="Header">
    <w:name w:val="header"/>
    <w:basedOn w:val="Normal"/>
    <w:link w:val="HeaderChar"/>
    <w:uiPriority w:val="99"/>
    <w:unhideWhenUsed/>
    <w:rsid w:val="06097C81"/>
    <w:pPr>
      <w:tabs>
        <w:tab w:val="center" w:pos="4680"/>
        <w:tab w:val="right" w:pos="9360"/>
      </w:tabs>
    </w:pPr>
  </w:style>
  <w:style w:type="character" w:customStyle="1" w:styleId="HeaderChar">
    <w:name w:val="Header Char"/>
    <w:basedOn w:val="DefaultParagraphFont"/>
    <w:link w:val="Header"/>
    <w:uiPriority w:val="99"/>
    <w:rsid w:val="000A0D44"/>
  </w:style>
  <w:style w:type="paragraph" w:styleId="BodyText">
    <w:name w:val="Body Text"/>
    <w:basedOn w:val="Normal"/>
    <w:link w:val="BodyTextChar"/>
    <w:uiPriority w:val="1"/>
    <w:qFormat/>
    <w:rsid w:val="06097C81"/>
    <w:rPr>
      <w:rFonts w:ascii="Lucida Sans" w:hAnsi="Lucida Sans" w:cs="Lucida Sans"/>
      <w:sz w:val="32"/>
      <w:szCs w:val="32"/>
    </w:rPr>
  </w:style>
  <w:style w:type="character" w:customStyle="1" w:styleId="BodyTextChar">
    <w:name w:val="Body Text Char"/>
    <w:basedOn w:val="DefaultParagraphFont"/>
    <w:link w:val="BodyText"/>
    <w:uiPriority w:val="1"/>
    <w:rsid w:val="00D64584"/>
    <w:rPr>
      <w:rFonts w:ascii="Lucida Sans" w:hAnsi="Lucida Sans" w:cs="Lucida Sans"/>
      <w:kern w:val="0"/>
      <w:sz w:val="32"/>
      <w:szCs w:val="32"/>
      <w:lang w:val="en-NZ"/>
      <w14:ligatures w14:val="none"/>
    </w:rPr>
  </w:style>
  <w:style w:type="paragraph" w:styleId="TOC1">
    <w:name w:val="toc 1"/>
    <w:basedOn w:val="Normal"/>
    <w:next w:val="Normal"/>
    <w:uiPriority w:val="39"/>
    <w:unhideWhenUsed/>
    <w:rsid w:val="06097C81"/>
    <w:pPr>
      <w:spacing w:before="120"/>
    </w:pPr>
    <w:rPr>
      <w:b/>
      <w:bCs/>
      <w:i/>
      <w:iCs/>
    </w:rPr>
  </w:style>
  <w:style w:type="paragraph" w:styleId="TOC2">
    <w:name w:val="toc 2"/>
    <w:basedOn w:val="Normal"/>
    <w:next w:val="Normal"/>
    <w:uiPriority w:val="39"/>
    <w:unhideWhenUsed/>
    <w:rsid w:val="06097C81"/>
    <w:pPr>
      <w:spacing w:before="120"/>
      <w:ind w:left="240"/>
    </w:pPr>
    <w:rPr>
      <w:b/>
      <w:bCs/>
      <w:sz w:val="22"/>
      <w:szCs w:val="22"/>
    </w:rPr>
  </w:style>
  <w:style w:type="paragraph" w:styleId="TOC3">
    <w:name w:val="toc 3"/>
    <w:basedOn w:val="Normal"/>
    <w:next w:val="Normal"/>
    <w:uiPriority w:val="39"/>
    <w:unhideWhenUsed/>
    <w:rsid w:val="06097C81"/>
    <w:pPr>
      <w:ind w:left="480"/>
    </w:pPr>
    <w:rPr>
      <w:sz w:val="20"/>
      <w:szCs w:val="20"/>
    </w:rPr>
  </w:style>
  <w:style w:type="paragraph" w:styleId="TOC4">
    <w:name w:val="toc 4"/>
    <w:basedOn w:val="Normal"/>
    <w:next w:val="Normal"/>
    <w:uiPriority w:val="39"/>
    <w:unhideWhenUsed/>
    <w:rsid w:val="06097C81"/>
    <w:pPr>
      <w:ind w:left="720"/>
    </w:pPr>
    <w:rPr>
      <w:sz w:val="20"/>
      <w:szCs w:val="20"/>
    </w:rPr>
  </w:style>
  <w:style w:type="paragraph" w:styleId="TOC5">
    <w:name w:val="toc 5"/>
    <w:basedOn w:val="Normal"/>
    <w:next w:val="Normal"/>
    <w:uiPriority w:val="39"/>
    <w:unhideWhenUsed/>
    <w:rsid w:val="06097C81"/>
    <w:pPr>
      <w:ind w:left="960"/>
    </w:pPr>
    <w:rPr>
      <w:sz w:val="20"/>
      <w:szCs w:val="20"/>
    </w:rPr>
  </w:style>
  <w:style w:type="paragraph" w:styleId="TOC6">
    <w:name w:val="toc 6"/>
    <w:basedOn w:val="Normal"/>
    <w:next w:val="Normal"/>
    <w:uiPriority w:val="39"/>
    <w:unhideWhenUsed/>
    <w:rsid w:val="06097C81"/>
    <w:pPr>
      <w:ind w:left="1200"/>
    </w:pPr>
    <w:rPr>
      <w:sz w:val="20"/>
      <w:szCs w:val="20"/>
    </w:rPr>
  </w:style>
  <w:style w:type="paragraph" w:styleId="TOC7">
    <w:name w:val="toc 7"/>
    <w:basedOn w:val="Normal"/>
    <w:next w:val="Normal"/>
    <w:uiPriority w:val="39"/>
    <w:unhideWhenUsed/>
    <w:rsid w:val="06097C81"/>
    <w:pPr>
      <w:ind w:left="1440"/>
    </w:pPr>
    <w:rPr>
      <w:sz w:val="20"/>
      <w:szCs w:val="20"/>
    </w:rPr>
  </w:style>
  <w:style w:type="paragraph" w:styleId="TOC8">
    <w:name w:val="toc 8"/>
    <w:basedOn w:val="Normal"/>
    <w:next w:val="Normal"/>
    <w:uiPriority w:val="39"/>
    <w:unhideWhenUsed/>
    <w:rsid w:val="06097C81"/>
    <w:pPr>
      <w:ind w:left="1680"/>
    </w:pPr>
    <w:rPr>
      <w:sz w:val="20"/>
      <w:szCs w:val="20"/>
    </w:rPr>
  </w:style>
  <w:style w:type="paragraph" w:styleId="TOC9">
    <w:name w:val="toc 9"/>
    <w:basedOn w:val="Normal"/>
    <w:next w:val="Normal"/>
    <w:uiPriority w:val="39"/>
    <w:unhideWhenUsed/>
    <w:rsid w:val="06097C81"/>
    <w:pPr>
      <w:ind w:left="1920"/>
    </w:pPr>
    <w:rPr>
      <w:sz w:val="20"/>
      <w:szCs w:val="20"/>
    </w:rPr>
  </w:style>
  <w:style w:type="paragraph" w:styleId="EndnoteText">
    <w:name w:val="endnote text"/>
    <w:basedOn w:val="Normal"/>
    <w:uiPriority w:val="99"/>
    <w:semiHidden/>
    <w:unhideWhenUsed/>
    <w:rsid w:val="06097C81"/>
    <w:rPr>
      <w:sz w:val="20"/>
      <w:szCs w:val="20"/>
    </w:rPr>
  </w:style>
  <w:style w:type="paragraph" w:styleId="FootnoteText">
    <w:name w:val="footnote text"/>
    <w:basedOn w:val="Normal"/>
    <w:uiPriority w:val="99"/>
    <w:semiHidden/>
    <w:unhideWhenUsed/>
    <w:rsid w:val="06097C81"/>
    <w:rPr>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NZ"/>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0DB5"/>
    <w:rPr>
      <w:b/>
      <w:bCs/>
    </w:rPr>
  </w:style>
  <w:style w:type="character" w:customStyle="1" w:styleId="CommentSubjectChar">
    <w:name w:val="Comment Subject Char"/>
    <w:basedOn w:val="CommentTextChar"/>
    <w:link w:val="CommentSubject"/>
    <w:uiPriority w:val="99"/>
    <w:semiHidden/>
    <w:rsid w:val="00A10DB5"/>
    <w:rPr>
      <w:b/>
      <w:bCs/>
      <w:sz w:val="20"/>
      <w:szCs w:val="20"/>
      <w:lang w:val="en-NZ"/>
    </w:rPr>
  </w:style>
  <w:style w:type="character" w:styleId="FootnoteReference">
    <w:name w:val="footnote reference"/>
    <w:basedOn w:val="DefaultParagraphFont"/>
    <w:uiPriority w:val="99"/>
    <w:semiHidden/>
    <w:unhideWhenUsed/>
    <w:rsid w:val="00756045"/>
    <w:rPr>
      <w:vertAlign w:val="superscript"/>
    </w:rPr>
  </w:style>
  <w:style w:type="character" w:styleId="FollowedHyperlink">
    <w:name w:val="FollowedHyperlink"/>
    <w:basedOn w:val="DefaultParagraphFont"/>
    <w:uiPriority w:val="99"/>
    <w:semiHidden/>
    <w:unhideWhenUsed/>
    <w:rsid w:val="000638B4"/>
    <w:rPr>
      <w:color w:val="96607D" w:themeColor="followedHyperlink"/>
      <w:u w:val="single"/>
    </w:rPr>
  </w:style>
  <w:style w:type="paragraph" w:styleId="TOCHeading">
    <w:name w:val="TOC Heading"/>
    <w:basedOn w:val="Heading1"/>
    <w:next w:val="Normal"/>
    <w:uiPriority w:val="39"/>
    <w:unhideWhenUsed/>
    <w:qFormat/>
    <w:rsid w:val="00DD0971"/>
    <w:pPr>
      <w:spacing w:before="480" w:after="0" w:line="276" w:lineRule="auto"/>
      <w:outlineLvl w:val="9"/>
    </w:pPr>
    <w:rPr>
      <w:b/>
      <w:bCs/>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26861">
      <w:bodyDiv w:val="1"/>
      <w:marLeft w:val="0"/>
      <w:marRight w:val="0"/>
      <w:marTop w:val="0"/>
      <w:marBottom w:val="0"/>
      <w:divBdr>
        <w:top w:val="none" w:sz="0" w:space="0" w:color="auto"/>
        <w:left w:val="none" w:sz="0" w:space="0" w:color="auto"/>
        <w:bottom w:val="none" w:sz="0" w:space="0" w:color="auto"/>
        <w:right w:val="none" w:sz="0" w:space="0" w:color="auto"/>
      </w:divBdr>
      <w:divsChild>
        <w:div w:id="1781951439">
          <w:marLeft w:val="0"/>
          <w:marRight w:val="0"/>
          <w:marTop w:val="0"/>
          <w:marBottom w:val="0"/>
          <w:divBdr>
            <w:top w:val="none" w:sz="0" w:space="0" w:color="auto"/>
            <w:left w:val="none" w:sz="0" w:space="0" w:color="auto"/>
            <w:bottom w:val="none" w:sz="0" w:space="0" w:color="auto"/>
            <w:right w:val="none" w:sz="0" w:space="0" w:color="auto"/>
          </w:divBdr>
          <w:divsChild>
            <w:div w:id="1155951503">
              <w:marLeft w:val="0"/>
              <w:marRight w:val="0"/>
              <w:marTop w:val="0"/>
              <w:marBottom w:val="0"/>
              <w:divBdr>
                <w:top w:val="none" w:sz="0" w:space="0" w:color="auto"/>
                <w:left w:val="none" w:sz="0" w:space="0" w:color="auto"/>
                <w:bottom w:val="none" w:sz="0" w:space="0" w:color="auto"/>
                <w:right w:val="none" w:sz="0" w:space="0" w:color="auto"/>
              </w:divBdr>
              <w:divsChild>
                <w:div w:id="635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01546">
      <w:bodyDiv w:val="1"/>
      <w:marLeft w:val="0"/>
      <w:marRight w:val="0"/>
      <w:marTop w:val="0"/>
      <w:marBottom w:val="0"/>
      <w:divBdr>
        <w:top w:val="none" w:sz="0" w:space="0" w:color="auto"/>
        <w:left w:val="none" w:sz="0" w:space="0" w:color="auto"/>
        <w:bottom w:val="none" w:sz="0" w:space="0" w:color="auto"/>
        <w:right w:val="none" w:sz="0" w:space="0" w:color="auto"/>
      </w:divBdr>
      <w:divsChild>
        <w:div w:id="216818621">
          <w:marLeft w:val="0"/>
          <w:marRight w:val="0"/>
          <w:marTop w:val="83"/>
          <w:marBottom w:val="0"/>
          <w:divBdr>
            <w:top w:val="none" w:sz="0" w:space="0" w:color="auto"/>
            <w:left w:val="none" w:sz="0" w:space="0" w:color="auto"/>
            <w:bottom w:val="none" w:sz="0" w:space="0" w:color="auto"/>
            <w:right w:val="none" w:sz="0" w:space="0" w:color="auto"/>
          </w:divBdr>
        </w:div>
        <w:div w:id="445657559">
          <w:marLeft w:val="0"/>
          <w:marRight w:val="0"/>
          <w:marTop w:val="83"/>
          <w:marBottom w:val="0"/>
          <w:divBdr>
            <w:top w:val="none" w:sz="0" w:space="0" w:color="auto"/>
            <w:left w:val="none" w:sz="0" w:space="0" w:color="auto"/>
            <w:bottom w:val="none" w:sz="0" w:space="0" w:color="auto"/>
            <w:right w:val="none" w:sz="0" w:space="0" w:color="auto"/>
          </w:divBdr>
          <w:divsChild>
            <w:div w:id="241448332">
              <w:marLeft w:val="0"/>
              <w:marRight w:val="0"/>
              <w:marTop w:val="83"/>
              <w:marBottom w:val="0"/>
              <w:divBdr>
                <w:top w:val="none" w:sz="0" w:space="0" w:color="auto"/>
                <w:left w:val="none" w:sz="0" w:space="0" w:color="auto"/>
                <w:bottom w:val="none" w:sz="0" w:space="0" w:color="auto"/>
                <w:right w:val="none" w:sz="0" w:space="0" w:color="auto"/>
              </w:divBdr>
            </w:div>
            <w:div w:id="1480342499">
              <w:marLeft w:val="0"/>
              <w:marRight w:val="0"/>
              <w:marTop w:val="83"/>
              <w:marBottom w:val="0"/>
              <w:divBdr>
                <w:top w:val="none" w:sz="0" w:space="0" w:color="auto"/>
                <w:left w:val="none" w:sz="0" w:space="0" w:color="auto"/>
                <w:bottom w:val="none" w:sz="0" w:space="0" w:color="auto"/>
                <w:right w:val="none" w:sz="0" w:space="0" w:color="auto"/>
              </w:divBdr>
            </w:div>
          </w:divsChild>
        </w:div>
        <w:div w:id="907686713">
          <w:marLeft w:val="0"/>
          <w:marRight w:val="0"/>
          <w:marTop w:val="83"/>
          <w:marBottom w:val="0"/>
          <w:divBdr>
            <w:top w:val="none" w:sz="0" w:space="0" w:color="auto"/>
            <w:left w:val="none" w:sz="0" w:space="0" w:color="auto"/>
            <w:bottom w:val="none" w:sz="0" w:space="0" w:color="auto"/>
            <w:right w:val="none" w:sz="0" w:space="0" w:color="auto"/>
          </w:divBdr>
          <w:divsChild>
            <w:div w:id="46035367">
              <w:marLeft w:val="0"/>
              <w:marRight w:val="0"/>
              <w:marTop w:val="83"/>
              <w:marBottom w:val="0"/>
              <w:divBdr>
                <w:top w:val="none" w:sz="0" w:space="0" w:color="auto"/>
                <w:left w:val="none" w:sz="0" w:space="0" w:color="auto"/>
                <w:bottom w:val="none" w:sz="0" w:space="0" w:color="auto"/>
                <w:right w:val="none" w:sz="0" w:space="0" w:color="auto"/>
              </w:divBdr>
            </w:div>
            <w:div w:id="154687591">
              <w:marLeft w:val="0"/>
              <w:marRight w:val="0"/>
              <w:marTop w:val="83"/>
              <w:marBottom w:val="0"/>
              <w:divBdr>
                <w:top w:val="none" w:sz="0" w:space="0" w:color="auto"/>
                <w:left w:val="none" w:sz="0" w:space="0" w:color="auto"/>
                <w:bottom w:val="none" w:sz="0" w:space="0" w:color="auto"/>
                <w:right w:val="none" w:sz="0" w:space="0" w:color="auto"/>
              </w:divBdr>
            </w:div>
          </w:divsChild>
        </w:div>
        <w:div w:id="1001274457">
          <w:marLeft w:val="0"/>
          <w:marRight w:val="0"/>
          <w:marTop w:val="83"/>
          <w:marBottom w:val="0"/>
          <w:divBdr>
            <w:top w:val="none" w:sz="0" w:space="0" w:color="auto"/>
            <w:left w:val="none" w:sz="0" w:space="0" w:color="auto"/>
            <w:bottom w:val="none" w:sz="0" w:space="0" w:color="auto"/>
            <w:right w:val="none" w:sz="0" w:space="0" w:color="auto"/>
          </w:divBdr>
        </w:div>
        <w:div w:id="1378624111">
          <w:marLeft w:val="0"/>
          <w:marRight w:val="0"/>
          <w:marTop w:val="83"/>
          <w:marBottom w:val="0"/>
          <w:divBdr>
            <w:top w:val="none" w:sz="0" w:space="0" w:color="auto"/>
            <w:left w:val="none" w:sz="0" w:space="0" w:color="auto"/>
            <w:bottom w:val="none" w:sz="0" w:space="0" w:color="auto"/>
            <w:right w:val="none" w:sz="0" w:space="0" w:color="auto"/>
          </w:divBdr>
        </w:div>
        <w:div w:id="1589727640">
          <w:marLeft w:val="0"/>
          <w:marRight w:val="0"/>
          <w:marTop w:val="83"/>
          <w:marBottom w:val="0"/>
          <w:divBdr>
            <w:top w:val="none" w:sz="0" w:space="0" w:color="auto"/>
            <w:left w:val="none" w:sz="0" w:space="0" w:color="auto"/>
            <w:bottom w:val="none" w:sz="0" w:space="0" w:color="auto"/>
            <w:right w:val="none" w:sz="0" w:space="0" w:color="auto"/>
          </w:divBdr>
        </w:div>
        <w:div w:id="2057966219">
          <w:marLeft w:val="0"/>
          <w:marRight w:val="0"/>
          <w:marTop w:val="83"/>
          <w:marBottom w:val="0"/>
          <w:divBdr>
            <w:top w:val="none" w:sz="0" w:space="0" w:color="auto"/>
            <w:left w:val="none" w:sz="0" w:space="0" w:color="auto"/>
            <w:bottom w:val="none" w:sz="0" w:space="0" w:color="auto"/>
            <w:right w:val="none" w:sz="0" w:space="0" w:color="auto"/>
          </w:divBdr>
        </w:div>
      </w:divsChild>
    </w:div>
    <w:div w:id="774012121">
      <w:bodyDiv w:val="1"/>
      <w:marLeft w:val="0"/>
      <w:marRight w:val="0"/>
      <w:marTop w:val="0"/>
      <w:marBottom w:val="0"/>
      <w:divBdr>
        <w:top w:val="none" w:sz="0" w:space="0" w:color="auto"/>
        <w:left w:val="none" w:sz="0" w:space="0" w:color="auto"/>
        <w:bottom w:val="none" w:sz="0" w:space="0" w:color="auto"/>
        <w:right w:val="none" w:sz="0" w:space="0" w:color="auto"/>
      </w:divBdr>
    </w:div>
    <w:div w:id="776146642">
      <w:bodyDiv w:val="1"/>
      <w:marLeft w:val="0"/>
      <w:marRight w:val="0"/>
      <w:marTop w:val="0"/>
      <w:marBottom w:val="0"/>
      <w:divBdr>
        <w:top w:val="none" w:sz="0" w:space="0" w:color="auto"/>
        <w:left w:val="none" w:sz="0" w:space="0" w:color="auto"/>
        <w:bottom w:val="none" w:sz="0" w:space="0" w:color="auto"/>
        <w:right w:val="none" w:sz="0" w:space="0" w:color="auto"/>
      </w:divBdr>
      <w:divsChild>
        <w:div w:id="2047171405">
          <w:marLeft w:val="0"/>
          <w:marRight w:val="0"/>
          <w:marTop w:val="0"/>
          <w:marBottom w:val="0"/>
          <w:divBdr>
            <w:top w:val="none" w:sz="0" w:space="0" w:color="auto"/>
            <w:left w:val="none" w:sz="0" w:space="0" w:color="auto"/>
            <w:bottom w:val="none" w:sz="0" w:space="0" w:color="auto"/>
            <w:right w:val="none" w:sz="0" w:space="0" w:color="auto"/>
          </w:divBdr>
          <w:divsChild>
            <w:div w:id="74011477">
              <w:marLeft w:val="0"/>
              <w:marRight w:val="0"/>
              <w:marTop w:val="0"/>
              <w:marBottom w:val="0"/>
              <w:divBdr>
                <w:top w:val="none" w:sz="0" w:space="0" w:color="auto"/>
                <w:left w:val="none" w:sz="0" w:space="0" w:color="auto"/>
                <w:bottom w:val="none" w:sz="0" w:space="0" w:color="auto"/>
                <w:right w:val="none" w:sz="0" w:space="0" w:color="auto"/>
              </w:divBdr>
              <w:divsChild>
                <w:div w:id="15019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5916">
      <w:bodyDiv w:val="1"/>
      <w:marLeft w:val="0"/>
      <w:marRight w:val="0"/>
      <w:marTop w:val="0"/>
      <w:marBottom w:val="0"/>
      <w:divBdr>
        <w:top w:val="none" w:sz="0" w:space="0" w:color="auto"/>
        <w:left w:val="none" w:sz="0" w:space="0" w:color="auto"/>
        <w:bottom w:val="none" w:sz="0" w:space="0" w:color="auto"/>
        <w:right w:val="none" w:sz="0" w:space="0" w:color="auto"/>
      </w:divBdr>
      <w:divsChild>
        <w:div w:id="291640603">
          <w:marLeft w:val="0"/>
          <w:marRight w:val="0"/>
          <w:marTop w:val="0"/>
          <w:marBottom w:val="0"/>
          <w:divBdr>
            <w:top w:val="none" w:sz="0" w:space="0" w:color="auto"/>
            <w:left w:val="none" w:sz="0" w:space="0" w:color="auto"/>
            <w:bottom w:val="none" w:sz="0" w:space="0" w:color="auto"/>
            <w:right w:val="none" w:sz="0" w:space="0" w:color="auto"/>
          </w:divBdr>
          <w:divsChild>
            <w:div w:id="723867281">
              <w:marLeft w:val="0"/>
              <w:marRight w:val="0"/>
              <w:marTop w:val="0"/>
              <w:marBottom w:val="0"/>
              <w:divBdr>
                <w:top w:val="none" w:sz="0" w:space="0" w:color="auto"/>
                <w:left w:val="none" w:sz="0" w:space="0" w:color="auto"/>
                <w:bottom w:val="none" w:sz="0" w:space="0" w:color="auto"/>
                <w:right w:val="none" w:sz="0" w:space="0" w:color="auto"/>
              </w:divBdr>
              <w:divsChild>
                <w:div w:id="8988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2512">
      <w:bodyDiv w:val="1"/>
      <w:marLeft w:val="0"/>
      <w:marRight w:val="0"/>
      <w:marTop w:val="0"/>
      <w:marBottom w:val="0"/>
      <w:divBdr>
        <w:top w:val="none" w:sz="0" w:space="0" w:color="auto"/>
        <w:left w:val="none" w:sz="0" w:space="0" w:color="auto"/>
        <w:bottom w:val="none" w:sz="0" w:space="0" w:color="auto"/>
        <w:right w:val="none" w:sz="0" w:space="0" w:color="auto"/>
      </w:divBdr>
      <w:divsChild>
        <w:div w:id="1145316770">
          <w:marLeft w:val="0"/>
          <w:marRight w:val="0"/>
          <w:marTop w:val="0"/>
          <w:marBottom w:val="0"/>
          <w:divBdr>
            <w:top w:val="none" w:sz="0" w:space="0" w:color="auto"/>
            <w:left w:val="none" w:sz="0" w:space="0" w:color="auto"/>
            <w:bottom w:val="none" w:sz="0" w:space="0" w:color="auto"/>
            <w:right w:val="none" w:sz="0" w:space="0" w:color="auto"/>
          </w:divBdr>
          <w:divsChild>
            <w:div w:id="1758819902">
              <w:marLeft w:val="0"/>
              <w:marRight w:val="0"/>
              <w:marTop w:val="0"/>
              <w:marBottom w:val="0"/>
              <w:divBdr>
                <w:top w:val="none" w:sz="0" w:space="0" w:color="auto"/>
                <w:left w:val="none" w:sz="0" w:space="0" w:color="auto"/>
                <w:bottom w:val="none" w:sz="0" w:space="0" w:color="auto"/>
                <w:right w:val="none" w:sz="0" w:space="0" w:color="auto"/>
              </w:divBdr>
              <w:divsChild>
                <w:div w:id="1846243340">
                  <w:marLeft w:val="0"/>
                  <w:marRight w:val="0"/>
                  <w:marTop w:val="0"/>
                  <w:marBottom w:val="0"/>
                  <w:divBdr>
                    <w:top w:val="none" w:sz="0" w:space="0" w:color="auto"/>
                    <w:left w:val="none" w:sz="0" w:space="0" w:color="auto"/>
                    <w:bottom w:val="none" w:sz="0" w:space="0" w:color="auto"/>
                    <w:right w:val="none" w:sz="0" w:space="0" w:color="auto"/>
                  </w:divBdr>
                </w:div>
                <w:div w:id="8437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7357">
      <w:bodyDiv w:val="1"/>
      <w:marLeft w:val="0"/>
      <w:marRight w:val="0"/>
      <w:marTop w:val="0"/>
      <w:marBottom w:val="0"/>
      <w:divBdr>
        <w:top w:val="none" w:sz="0" w:space="0" w:color="auto"/>
        <w:left w:val="none" w:sz="0" w:space="0" w:color="auto"/>
        <w:bottom w:val="none" w:sz="0" w:space="0" w:color="auto"/>
        <w:right w:val="none" w:sz="0" w:space="0" w:color="auto"/>
      </w:divBdr>
      <w:divsChild>
        <w:div w:id="1363242774">
          <w:marLeft w:val="0"/>
          <w:marRight w:val="0"/>
          <w:marTop w:val="0"/>
          <w:marBottom w:val="0"/>
          <w:divBdr>
            <w:top w:val="none" w:sz="0" w:space="0" w:color="auto"/>
            <w:left w:val="none" w:sz="0" w:space="0" w:color="auto"/>
            <w:bottom w:val="none" w:sz="0" w:space="0" w:color="auto"/>
            <w:right w:val="none" w:sz="0" w:space="0" w:color="auto"/>
          </w:divBdr>
          <w:divsChild>
            <w:div w:id="1465925241">
              <w:marLeft w:val="0"/>
              <w:marRight w:val="0"/>
              <w:marTop w:val="0"/>
              <w:marBottom w:val="0"/>
              <w:divBdr>
                <w:top w:val="none" w:sz="0" w:space="0" w:color="auto"/>
                <w:left w:val="none" w:sz="0" w:space="0" w:color="auto"/>
                <w:bottom w:val="none" w:sz="0" w:space="0" w:color="auto"/>
                <w:right w:val="none" w:sz="0" w:space="0" w:color="auto"/>
              </w:divBdr>
              <w:divsChild>
                <w:div w:id="312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81151">
      <w:bodyDiv w:val="1"/>
      <w:marLeft w:val="0"/>
      <w:marRight w:val="0"/>
      <w:marTop w:val="0"/>
      <w:marBottom w:val="0"/>
      <w:divBdr>
        <w:top w:val="none" w:sz="0" w:space="0" w:color="auto"/>
        <w:left w:val="none" w:sz="0" w:space="0" w:color="auto"/>
        <w:bottom w:val="none" w:sz="0" w:space="0" w:color="auto"/>
        <w:right w:val="none" w:sz="0" w:space="0" w:color="auto"/>
      </w:divBdr>
      <w:divsChild>
        <w:div w:id="1357661741">
          <w:marLeft w:val="0"/>
          <w:marRight w:val="0"/>
          <w:marTop w:val="0"/>
          <w:marBottom w:val="0"/>
          <w:divBdr>
            <w:top w:val="none" w:sz="0" w:space="0" w:color="auto"/>
            <w:left w:val="none" w:sz="0" w:space="0" w:color="auto"/>
            <w:bottom w:val="none" w:sz="0" w:space="0" w:color="auto"/>
            <w:right w:val="none" w:sz="0" w:space="0" w:color="auto"/>
          </w:divBdr>
          <w:divsChild>
            <w:div w:id="436413338">
              <w:marLeft w:val="0"/>
              <w:marRight w:val="0"/>
              <w:marTop w:val="0"/>
              <w:marBottom w:val="0"/>
              <w:divBdr>
                <w:top w:val="none" w:sz="0" w:space="0" w:color="auto"/>
                <w:left w:val="none" w:sz="0" w:space="0" w:color="auto"/>
                <w:bottom w:val="none" w:sz="0" w:space="0" w:color="auto"/>
                <w:right w:val="none" w:sz="0" w:space="0" w:color="auto"/>
              </w:divBdr>
              <w:divsChild>
                <w:div w:id="267934835">
                  <w:marLeft w:val="0"/>
                  <w:marRight w:val="0"/>
                  <w:marTop w:val="0"/>
                  <w:marBottom w:val="0"/>
                  <w:divBdr>
                    <w:top w:val="none" w:sz="0" w:space="0" w:color="auto"/>
                    <w:left w:val="none" w:sz="0" w:space="0" w:color="auto"/>
                    <w:bottom w:val="none" w:sz="0" w:space="0" w:color="auto"/>
                    <w:right w:val="none" w:sz="0" w:space="0" w:color="auto"/>
                  </w:divBdr>
                </w:div>
                <w:div w:id="14809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69958">
      <w:bodyDiv w:val="1"/>
      <w:marLeft w:val="0"/>
      <w:marRight w:val="0"/>
      <w:marTop w:val="0"/>
      <w:marBottom w:val="0"/>
      <w:divBdr>
        <w:top w:val="none" w:sz="0" w:space="0" w:color="auto"/>
        <w:left w:val="none" w:sz="0" w:space="0" w:color="auto"/>
        <w:bottom w:val="none" w:sz="0" w:space="0" w:color="auto"/>
        <w:right w:val="none" w:sz="0" w:space="0" w:color="auto"/>
      </w:divBdr>
      <w:divsChild>
        <w:div w:id="390618915">
          <w:marLeft w:val="0"/>
          <w:marRight w:val="0"/>
          <w:marTop w:val="0"/>
          <w:marBottom w:val="0"/>
          <w:divBdr>
            <w:top w:val="none" w:sz="0" w:space="0" w:color="auto"/>
            <w:left w:val="none" w:sz="0" w:space="0" w:color="auto"/>
            <w:bottom w:val="none" w:sz="0" w:space="0" w:color="auto"/>
            <w:right w:val="none" w:sz="0" w:space="0" w:color="auto"/>
          </w:divBdr>
          <w:divsChild>
            <w:div w:id="2008900312">
              <w:marLeft w:val="0"/>
              <w:marRight w:val="0"/>
              <w:marTop w:val="0"/>
              <w:marBottom w:val="0"/>
              <w:divBdr>
                <w:top w:val="none" w:sz="0" w:space="0" w:color="auto"/>
                <w:left w:val="none" w:sz="0" w:space="0" w:color="auto"/>
                <w:bottom w:val="none" w:sz="0" w:space="0" w:color="auto"/>
                <w:right w:val="none" w:sz="0" w:space="0" w:color="auto"/>
              </w:divBdr>
              <w:divsChild>
                <w:div w:id="8347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37341">
      <w:bodyDiv w:val="1"/>
      <w:marLeft w:val="0"/>
      <w:marRight w:val="0"/>
      <w:marTop w:val="0"/>
      <w:marBottom w:val="0"/>
      <w:divBdr>
        <w:top w:val="none" w:sz="0" w:space="0" w:color="auto"/>
        <w:left w:val="none" w:sz="0" w:space="0" w:color="auto"/>
        <w:bottom w:val="none" w:sz="0" w:space="0" w:color="auto"/>
        <w:right w:val="none" w:sz="0" w:space="0" w:color="auto"/>
      </w:divBdr>
    </w:div>
    <w:div w:id="1770814028">
      <w:bodyDiv w:val="1"/>
      <w:marLeft w:val="0"/>
      <w:marRight w:val="0"/>
      <w:marTop w:val="0"/>
      <w:marBottom w:val="0"/>
      <w:divBdr>
        <w:top w:val="none" w:sz="0" w:space="0" w:color="auto"/>
        <w:left w:val="none" w:sz="0" w:space="0" w:color="auto"/>
        <w:bottom w:val="none" w:sz="0" w:space="0" w:color="auto"/>
        <w:right w:val="none" w:sz="0" w:space="0" w:color="auto"/>
      </w:divBdr>
      <w:divsChild>
        <w:div w:id="842622746">
          <w:marLeft w:val="0"/>
          <w:marRight w:val="0"/>
          <w:marTop w:val="0"/>
          <w:marBottom w:val="0"/>
          <w:divBdr>
            <w:top w:val="none" w:sz="0" w:space="0" w:color="auto"/>
            <w:left w:val="none" w:sz="0" w:space="0" w:color="auto"/>
            <w:bottom w:val="none" w:sz="0" w:space="0" w:color="auto"/>
            <w:right w:val="none" w:sz="0" w:space="0" w:color="auto"/>
          </w:divBdr>
          <w:divsChild>
            <w:div w:id="1681733724">
              <w:marLeft w:val="0"/>
              <w:marRight w:val="0"/>
              <w:marTop w:val="0"/>
              <w:marBottom w:val="0"/>
              <w:divBdr>
                <w:top w:val="none" w:sz="0" w:space="0" w:color="auto"/>
                <w:left w:val="none" w:sz="0" w:space="0" w:color="auto"/>
                <w:bottom w:val="none" w:sz="0" w:space="0" w:color="auto"/>
                <w:right w:val="none" w:sz="0" w:space="0" w:color="auto"/>
              </w:divBdr>
              <w:divsChild>
                <w:div w:id="21436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89038">
      <w:bodyDiv w:val="1"/>
      <w:marLeft w:val="0"/>
      <w:marRight w:val="0"/>
      <w:marTop w:val="0"/>
      <w:marBottom w:val="0"/>
      <w:divBdr>
        <w:top w:val="none" w:sz="0" w:space="0" w:color="auto"/>
        <w:left w:val="none" w:sz="0" w:space="0" w:color="auto"/>
        <w:bottom w:val="none" w:sz="0" w:space="0" w:color="auto"/>
        <w:right w:val="none" w:sz="0" w:space="0" w:color="auto"/>
      </w:divBdr>
    </w:div>
    <w:div w:id="2034114519">
      <w:bodyDiv w:val="1"/>
      <w:marLeft w:val="0"/>
      <w:marRight w:val="0"/>
      <w:marTop w:val="0"/>
      <w:marBottom w:val="0"/>
      <w:divBdr>
        <w:top w:val="none" w:sz="0" w:space="0" w:color="auto"/>
        <w:left w:val="none" w:sz="0" w:space="0" w:color="auto"/>
        <w:bottom w:val="none" w:sz="0" w:space="0" w:color="auto"/>
        <w:right w:val="none" w:sz="0" w:space="0" w:color="auto"/>
      </w:divBdr>
      <w:divsChild>
        <w:div w:id="335576425">
          <w:marLeft w:val="0"/>
          <w:marRight w:val="0"/>
          <w:marTop w:val="83"/>
          <w:marBottom w:val="0"/>
          <w:divBdr>
            <w:top w:val="none" w:sz="0" w:space="0" w:color="auto"/>
            <w:left w:val="none" w:sz="0" w:space="0" w:color="auto"/>
            <w:bottom w:val="none" w:sz="0" w:space="0" w:color="auto"/>
            <w:right w:val="none" w:sz="0" w:space="0" w:color="auto"/>
          </w:divBdr>
          <w:divsChild>
            <w:div w:id="1478649125">
              <w:marLeft w:val="0"/>
              <w:marRight w:val="0"/>
              <w:marTop w:val="83"/>
              <w:marBottom w:val="0"/>
              <w:divBdr>
                <w:top w:val="none" w:sz="0" w:space="0" w:color="auto"/>
                <w:left w:val="none" w:sz="0" w:space="0" w:color="auto"/>
                <w:bottom w:val="none" w:sz="0" w:space="0" w:color="auto"/>
                <w:right w:val="none" w:sz="0" w:space="0" w:color="auto"/>
              </w:divBdr>
            </w:div>
            <w:div w:id="1963463151">
              <w:marLeft w:val="0"/>
              <w:marRight w:val="0"/>
              <w:marTop w:val="83"/>
              <w:marBottom w:val="0"/>
              <w:divBdr>
                <w:top w:val="none" w:sz="0" w:space="0" w:color="auto"/>
                <w:left w:val="none" w:sz="0" w:space="0" w:color="auto"/>
                <w:bottom w:val="none" w:sz="0" w:space="0" w:color="auto"/>
                <w:right w:val="none" w:sz="0" w:space="0" w:color="auto"/>
              </w:divBdr>
            </w:div>
          </w:divsChild>
        </w:div>
        <w:div w:id="370686226">
          <w:marLeft w:val="0"/>
          <w:marRight w:val="0"/>
          <w:marTop w:val="83"/>
          <w:marBottom w:val="0"/>
          <w:divBdr>
            <w:top w:val="none" w:sz="0" w:space="0" w:color="auto"/>
            <w:left w:val="none" w:sz="0" w:space="0" w:color="auto"/>
            <w:bottom w:val="none" w:sz="0" w:space="0" w:color="auto"/>
            <w:right w:val="none" w:sz="0" w:space="0" w:color="auto"/>
          </w:divBdr>
        </w:div>
        <w:div w:id="871574612">
          <w:marLeft w:val="0"/>
          <w:marRight w:val="0"/>
          <w:marTop w:val="83"/>
          <w:marBottom w:val="0"/>
          <w:divBdr>
            <w:top w:val="none" w:sz="0" w:space="0" w:color="auto"/>
            <w:left w:val="none" w:sz="0" w:space="0" w:color="auto"/>
            <w:bottom w:val="none" w:sz="0" w:space="0" w:color="auto"/>
            <w:right w:val="none" w:sz="0" w:space="0" w:color="auto"/>
          </w:divBdr>
        </w:div>
        <w:div w:id="1106316650">
          <w:marLeft w:val="0"/>
          <w:marRight w:val="0"/>
          <w:marTop w:val="83"/>
          <w:marBottom w:val="0"/>
          <w:divBdr>
            <w:top w:val="none" w:sz="0" w:space="0" w:color="auto"/>
            <w:left w:val="none" w:sz="0" w:space="0" w:color="auto"/>
            <w:bottom w:val="none" w:sz="0" w:space="0" w:color="auto"/>
            <w:right w:val="none" w:sz="0" w:space="0" w:color="auto"/>
          </w:divBdr>
        </w:div>
        <w:div w:id="1318722751">
          <w:marLeft w:val="0"/>
          <w:marRight w:val="0"/>
          <w:marTop w:val="83"/>
          <w:marBottom w:val="0"/>
          <w:divBdr>
            <w:top w:val="none" w:sz="0" w:space="0" w:color="auto"/>
            <w:left w:val="none" w:sz="0" w:space="0" w:color="auto"/>
            <w:bottom w:val="none" w:sz="0" w:space="0" w:color="auto"/>
            <w:right w:val="none" w:sz="0" w:space="0" w:color="auto"/>
          </w:divBdr>
          <w:divsChild>
            <w:div w:id="1078593518">
              <w:marLeft w:val="0"/>
              <w:marRight w:val="0"/>
              <w:marTop w:val="83"/>
              <w:marBottom w:val="0"/>
              <w:divBdr>
                <w:top w:val="none" w:sz="0" w:space="0" w:color="auto"/>
                <w:left w:val="none" w:sz="0" w:space="0" w:color="auto"/>
                <w:bottom w:val="none" w:sz="0" w:space="0" w:color="auto"/>
                <w:right w:val="none" w:sz="0" w:space="0" w:color="auto"/>
              </w:divBdr>
            </w:div>
            <w:div w:id="1263031861">
              <w:marLeft w:val="0"/>
              <w:marRight w:val="0"/>
              <w:marTop w:val="83"/>
              <w:marBottom w:val="0"/>
              <w:divBdr>
                <w:top w:val="none" w:sz="0" w:space="0" w:color="auto"/>
                <w:left w:val="none" w:sz="0" w:space="0" w:color="auto"/>
                <w:bottom w:val="none" w:sz="0" w:space="0" w:color="auto"/>
                <w:right w:val="none" w:sz="0" w:space="0" w:color="auto"/>
              </w:divBdr>
            </w:div>
          </w:divsChild>
        </w:div>
        <w:div w:id="1835099036">
          <w:marLeft w:val="0"/>
          <w:marRight w:val="0"/>
          <w:marTop w:val="83"/>
          <w:marBottom w:val="0"/>
          <w:divBdr>
            <w:top w:val="none" w:sz="0" w:space="0" w:color="auto"/>
            <w:left w:val="none" w:sz="0" w:space="0" w:color="auto"/>
            <w:bottom w:val="none" w:sz="0" w:space="0" w:color="auto"/>
            <w:right w:val="none" w:sz="0" w:space="0" w:color="auto"/>
          </w:divBdr>
        </w:div>
        <w:div w:id="2055888117">
          <w:marLeft w:val="0"/>
          <w:marRight w:val="0"/>
          <w:marTop w:val="83"/>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www.mbie.govt.nz/assets/69361d5a98/health-safety-at-work-strategy-2018-2028.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feworkaustralia.gov.au/sites/default/files/2024-06/australian_whs_strategy_2022-32_june2024.pdf" TargetMode="External"/><Relationship Id="rId7" Type="http://schemas.openxmlformats.org/officeDocument/2006/relationships/endnotes" Target="endnotes.xml"/><Relationship Id="rId12" Type="http://schemas.openxmlformats.org/officeDocument/2006/relationships/hyperlink" Target="https://www.forum.org.nz/resources/state-of-a-thriving-nation-2024" TargetMode="External"/><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nzism.org/news/05-06-2024/" TargetMode="External"/><Relationship Id="rId20" Type="http://schemas.openxmlformats.org/officeDocument/2006/relationships/hyperlink" Target="https://www.safeworkaustralia.gov.au/system/files/documents/1902/australian-work-health-safety-strategy-2012-2022v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www.safeworkaustralia.gov.au/system/files/documents/1902/review_of_the_model_whs_laws_final_report_0.pdf" TargetMode="External"/><Relationship Id="rId23" Type="http://schemas.openxmlformats.org/officeDocument/2006/relationships/hyperlink" Target="https://www.mfat.govt.nz/assets/Trade-agreements/EU-NZ-FTA/Chapters/19.-Trade-and-Sustainable-Development.pdf" TargetMode="External"/><Relationship Id="rId28" Type="http://schemas.openxmlformats.org/officeDocument/2006/relationships/header" Target="header3.xml"/><Relationship Id="rId10" Type="http://schemas.openxmlformats.org/officeDocument/2006/relationships/hyperlink" Target="https://www.worksafe.govt.nz/dmsdocument/67185-report-overview-of-work-related-harm-and-risk-in-aotearoa-new-zealand/latest"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zism.org/crm/file/store/n7qkAJ1K0wTPX1KJbJ8VYAHV4MUW7l6m.pdf" TargetMode="External"/><Relationship Id="rId14" Type="http://schemas.openxmlformats.org/officeDocument/2006/relationships/hyperlink" Target="https://www.legislation.gov.uk/uksi/1999/3242/regulation/7" TargetMode="External"/><Relationship Id="rId22" Type="http://schemas.openxmlformats.org/officeDocument/2006/relationships/hyperlink" Target="https://www.futuresafeaotearoa.org.nz/"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rksafe.qld.gov.au/about/who-we-are/workplace-health-and-safety-queensland/work-health-and-safety-board-and-committees/industry-sector-standing-committees" TargetMode="External"/><Relationship Id="rId2" Type="http://schemas.openxmlformats.org/officeDocument/2006/relationships/hyperlink" Target="https://www.worksafe.govt.nz/laws-and-regulations/safe-work-instruments/" TargetMode="External"/><Relationship Id="rId1" Type="http://schemas.openxmlformats.org/officeDocument/2006/relationships/hyperlink" Target="https://doi.org/10.26686/nzjhsp.v1i2.947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eaqub-my.sharepoint.com/personal/shamubeel_eaqub_com/Documents/Client%20Projects/Business%20Leaders%20Health%20and%20Safety%20Forum/2024%20Health%20and%20Safety%20Research/2024%20report%20charts%20v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r>
              <a:rPr lang="en-NZ" b="1" dirty="0"/>
              <a:t>Number of Inspectors</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endParaRPr lang="en-US"/>
        </a:p>
      </c:txPr>
    </c:title>
    <c:autoTitleDeleted val="0"/>
    <c:plotArea>
      <c:layout/>
      <c:barChart>
        <c:barDir val="col"/>
        <c:grouping val="clustered"/>
        <c:varyColors val="0"/>
        <c:ser>
          <c:idx val="0"/>
          <c:order val="0"/>
          <c:tx>
            <c:strRef>
              <c:f>'Inspectorate activities'!$S$5</c:f>
              <c:strCache>
                <c:ptCount val="1"/>
                <c:pt idx="0">
                  <c:v>2018</c:v>
                </c:pt>
              </c:strCache>
            </c:strRef>
          </c:tx>
          <c:spPr>
            <a:solidFill>
              <a:schemeClr val="accent2">
                <a:tint val="54000"/>
              </a:schemeClr>
            </a:solidFill>
            <a:ln>
              <a:noFill/>
            </a:ln>
            <a:effectLst/>
          </c:spPr>
          <c:invertIfNegative val="0"/>
          <c:cat>
            <c:strRef>
              <c:f>'Inspectorate activities'!$T$4:$U$4</c:f>
              <c:strCache>
                <c:ptCount val="2"/>
                <c:pt idx="0">
                  <c:v>Australia</c:v>
                </c:pt>
                <c:pt idx="1">
                  <c:v>New Zealand</c:v>
                </c:pt>
              </c:strCache>
            </c:strRef>
          </c:cat>
          <c:val>
            <c:numRef>
              <c:f>'Inspectorate activities'!$T$5:$U$5</c:f>
              <c:numCache>
                <c:formatCode>General</c:formatCode>
                <c:ptCount val="2"/>
                <c:pt idx="0">
                  <c:v>9.2797155693112572</c:v>
                </c:pt>
                <c:pt idx="1">
                  <c:v>6.9616160079126566</c:v>
                </c:pt>
              </c:numCache>
            </c:numRef>
          </c:val>
          <c:extLst>
            <c:ext xmlns:c16="http://schemas.microsoft.com/office/drawing/2014/chart" uri="{C3380CC4-5D6E-409C-BE32-E72D297353CC}">
              <c16:uniqueId val="{00000000-3ADD-5442-9CC7-BC8A82BDD881}"/>
            </c:ext>
          </c:extLst>
        </c:ser>
        <c:ser>
          <c:idx val="1"/>
          <c:order val="1"/>
          <c:tx>
            <c:strRef>
              <c:f>'Inspectorate activities'!$S$6</c:f>
              <c:strCache>
                <c:ptCount val="1"/>
                <c:pt idx="0">
                  <c:v>2019</c:v>
                </c:pt>
              </c:strCache>
            </c:strRef>
          </c:tx>
          <c:spPr>
            <a:solidFill>
              <a:schemeClr val="accent2">
                <a:tint val="77000"/>
              </a:schemeClr>
            </a:solidFill>
            <a:ln>
              <a:noFill/>
            </a:ln>
            <a:effectLst/>
          </c:spPr>
          <c:invertIfNegative val="0"/>
          <c:cat>
            <c:strRef>
              <c:f>'Inspectorate activities'!$T$4:$U$4</c:f>
              <c:strCache>
                <c:ptCount val="2"/>
                <c:pt idx="0">
                  <c:v>Australia</c:v>
                </c:pt>
                <c:pt idx="1">
                  <c:v>New Zealand</c:v>
                </c:pt>
              </c:strCache>
            </c:strRef>
          </c:cat>
          <c:val>
            <c:numRef>
              <c:f>'Inspectorate activities'!$T$6:$U$6</c:f>
              <c:numCache>
                <c:formatCode>General</c:formatCode>
                <c:ptCount val="2"/>
                <c:pt idx="0">
                  <c:v>9.3482040186897741</c:v>
                </c:pt>
                <c:pt idx="1">
                  <c:v>7.0000748671108779</c:v>
                </c:pt>
              </c:numCache>
            </c:numRef>
          </c:val>
          <c:extLst>
            <c:ext xmlns:c16="http://schemas.microsoft.com/office/drawing/2014/chart" uri="{C3380CC4-5D6E-409C-BE32-E72D297353CC}">
              <c16:uniqueId val="{00000001-3ADD-5442-9CC7-BC8A82BDD881}"/>
            </c:ext>
          </c:extLst>
        </c:ser>
        <c:ser>
          <c:idx val="2"/>
          <c:order val="2"/>
          <c:tx>
            <c:strRef>
              <c:f>'Inspectorate activities'!$S$7</c:f>
              <c:strCache>
                <c:ptCount val="1"/>
                <c:pt idx="0">
                  <c:v>2020</c:v>
                </c:pt>
              </c:strCache>
            </c:strRef>
          </c:tx>
          <c:spPr>
            <a:solidFill>
              <a:schemeClr val="accent2"/>
            </a:solidFill>
            <a:ln>
              <a:noFill/>
            </a:ln>
            <a:effectLst/>
          </c:spPr>
          <c:invertIfNegative val="0"/>
          <c:cat>
            <c:strRef>
              <c:f>'Inspectorate activities'!$T$4:$U$4</c:f>
              <c:strCache>
                <c:ptCount val="2"/>
                <c:pt idx="0">
                  <c:v>Australia</c:v>
                </c:pt>
                <c:pt idx="1">
                  <c:v>New Zealand</c:v>
                </c:pt>
              </c:strCache>
            </c:strRef>
          </c:cat>
          <c:val>
            <c:numRef>
              <c:f>'Inspectorate activities'!$T$7:$U$7</c:f>
              <c:numCache>
                <c:formatCode>General</c:formatCode>
                <c:ptCount val="2"/>
                <c:pt idx="0">
                  <c:v>9.570843818599716</c:v>
                </c:pt>
                <c:pt idx="1">
                  <c:v>6.793228803290126</c:v>
                </c:pt>
              </c:numCache>
            </c:numRef>
          </c:val>
          <c:extLst>
            <c:ext xmlns:c16="http://schemas.microsoft.com/office/drawing/2014/chart" uri="{C3380CC4-5D6E-409C-BE32-E72D297353CC}">
              <c16:uniqueId val="{00000002-3ADD-5442-9CC7-BC8A82BDD881}"/>
            </c:ext>
          </c:extLst>
        </c:ser>
        <c:ser>
          <c:idx val="3"/>
          <c:order val="3"/>
          <c:tx>
            <c:strRef>
              <c:f>'Inspectorate activities'!$S$8</c:f>
              <c:strCache>
                <c:ptCount val="1"/>
                <c:pt idx="0">
                  <c:v>2021</c:v>
                </c:pt>
              </c:strCache>
            </c:strRef>
          </c:tx>
          <c:spPr>
            <a:solidFill>
              <a:schemeClr val="accent2">
                <a:shade val="76000"/>
              </a:schemeClr>
            </a:solidFill>
            <a:ln>
              <a:noFill/>
            </a:ln>
            <a:effectLst/>
          </c:spPr>
          <c:invertIfNegative val="0"/>
          <c:cat>
            <c:strRef>
              <c:f>'Inspectorate activities'!$T$4:$U$4</c:f>
              <c:strCache>
                <c:ptCount val="2"/>
                <c:pt idx="0">
                  <c:v>Australia</c:v>
                </c:pt>
                <c:pt idx="1">
                  <c:v>New Zealand</c:v>
                </c:pt>
              </c:strCache>
            </c:strRef>
          </c:cat>
          <c:val>
            <c:numRef>
              <c:f>'Inspectorate activities'!$T$8:$U$8</c:f>
              <c:numCache>
                <c:formatCode>General</c:formatCode>
                <c:ptCount val="2"/>
                <c:pt idx="0">
                  <c:v>10.113730120918934</c:v>
                </c:pt>
                <c:pt idx="1">
                  <c:v>6.2395095964387357</c:v>
                </c:pt>
              </c:numCache>
            </c:numRef>
          </c:val>
          <c:extLst>
            <c:ext xmlns:c16="http://schemas.microsoft.com/office/drawing/2014/chart" uri="{C3380CC4-5D6E-409C-BE32-E72D297353CC}">
              <c16:uniqueId val="{00000003-3ADD-5442-9CC7-BC8A82BDD881}"/>
            </c:ext>
          </c:extLst>
        </c:ser>
        <c:ser>
          <c:idx val="4"/>
          <c:order val="4"/>
          <c:tx>
            <c:strRef>
              <c:f>'Inspectorate activities'!$S$9</c:f>
              <c:strCache>
                <c:ptCount val="1"/>
                <c:pt idx="0">
                  <c:v>2022</c:v>
                </c:pt>
              </c:strCache>
            </c:strRef>
          </c:tx>
          <c:spPr>
            <a:solidFill>
              <a:schemeClr val="accent2">
                <a:shade val="53000"/>
              </a:schemeClr>
            </a:solidFill>
            <a:ln>
              <a:noFill/>
            </a:ln>
            <a:effectLst/>
          </c:spPr>
          <c:invertIfNegative val="0"/>
          <c:cat>
            <c:strRef>
              <c:f>'Inspectorate activities'!$T$4:$U$4</c:f>
              <c:strCache>
                <c:ptCount val="2"/>
                <c:pt idx="0">
                  <c:v>Australia</c:v>
                </c:pt>
                <c:pt idx="1">
                  <c:v>New Zealand</c:v>
                </c:pt>
              </c:strCache>
            </c:strRef>
          </c:cat>
          <c:val>
            <c:numRef>
              <c:f>'Inspectorate activities'!$T$9:$U$9</c:f>
              <c:numCache>
                <c:formatCode>General</c:formatCode>
                <c:ptCount val="2"/>
                <c:pt idx="0">
                  <c:v>10.111486536486156</c:v>
                </c:pt>
                <c:pt idx="1">
                  <c:v>6.640625</c:v>
                </c:pt>
              </c:numCache>
            </c:numRef>
          </c:val>
          <c:extLst>
            <c:ext xmlns:c16="http://schemas.microsoft.com/office/drawing/2014/chart" uri="{C3380CC4-5D6E-409C-BE32-E72D297353CC}">
              <c16:uniqueId val="{00000004-3ADD-5442-9CC7-BC8A82BDD881}"/>
            </c:ext>
          </c:extLst>
        </c:ser>
        <c:dLbls>
          <c:showLegendKey val="0"/>
          <c:showVal val="0"/>
          <c:showCatName val="0"/>
          <c:showSerName val="0"/>
          <c:showPercent val="0"/>
          <c:showBubbleSize val="0"/>
        </c:dLbls>
        <c:gapWidth val="150"/>
        <c:axId val="166048799"/>
        <c:axId val="347262303"/>
      </c:barChart>
      <c:dateAx>
        <c:axId val="166048799"/>
        <c:scaling>
          <c:orientation val="minMax"/>
        </c:scaling>
        <c:delete val="0"/>
        <c:axPos val="b"/>
        <c:numFmt formatCode="yyyy"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endParaRPr lang="en-US"/>
          </a:p>
        </c:txPr>
        <c:crossAx val="347262303"/>
        <c:crosses val="autoZero"/>
        <c:auto val="1"/>
        <c:lblOffset val="100"/>
        <c:baseTimeUnit val="months"/>
        <c:minorUnit val="1"/>
        <c:minorTimeUnit val="years"/>
      </c:dateAx>
      <c:valAx>
        <c:axId val="347262303"/>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r>
                  <a:rPr lang="en-NZ" dirty="0"/>
                  <a:t>Number per 1,000 employed</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endParaRPr lang="en-US"/>
          </a:p>
        </c:txPr>
        <c:crossAx val="1660487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ysClr val="windowText" lastClr="000000"/>
          </a:solidFill>
          <a:latin typeface="Microsoft GothicNeo" panose="020B0500000101010101" pitchFamily="34" charset="-127"/>
          <a:ea typeface="Microsoft GothicNeo" panose="020B0500000101010101" pitchFamily="34" charset="-127"/>
          <a:cs typeface="Microsoft GothicNeo" panose="020B0500000101010101" pitchFamily="34" charset="-12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030F1-8A98-7846-827A-B7557DDD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9998</Words>
  <Characters>56992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NZISM CEO</dc:creator>
  <cp:keywords/>
  <dc:description/>
  <cp:lastModifiedBy>Tanya Bater</cp:lastModifiedBy>
  <cp:revision>3</cp:revision>
  <cp:lastPrinted>2024-09-17T04:38:00Z</cp:lastPrinted>
  <dcterms:created xsi:type="dcterms:W3CDTF">2024-09-17T04:38:00Z</dcterms:created>
  <dcterms:modified xsi:type="dcterms:W3CDTF">2024-09-17T04:38:00Z</dcterms:modified>
  <cp:category/>
</cp:coreProperties>
</file>